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https://www.autoritedelaconcurrence.fr/fr/decision-de-controle-des-concentrations/relative-la-prise-de-controle-exclusif-du-groupe-tcs-par-la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17-DCC-22 of February 15, 2017  </w:t>
        <w:br/>
        <w:t xml:space="preserve">regarding the exclusive control acquisition of the TCS group by  </w:t>
        <w:br/>
        <w:t xml:space="preserve">the company Meeschaert Capital Partner  </w:t>
        <w:br/>
        <w:t xml:space="preserve">The Competition Authority,  </w:t>
        <w:br/>
        <w:t xml:space="preserve">Having regard to the complete notification file submitted to the mergers department on January 24, 2017,  </w:t>
        <w:br/>
        <w:t xml:space="preserve">concerning the exclusive control acquisition of the TCS group by the company Meeschaert Capital Partner,  </w:t>
        <w:br/>
        <w:t xml:space="preserve">formalized by a purchase promise dated December 15,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by the company Meeschaert Capital Partner of the  </w:t>
        <w:br/>
        <w:t xml:space="preserve">TCS group, primarily active in the sector of collection, sorting, and rapid transport of  </w:t>
        <w:br/>
        <w:t xml:space="preserve">mail and small parcels. Given the turnover generated by the concerned companies, the operation does not fall under the jurisdiction of the European Union.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16-279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