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https://www.autoritedelaconcurrence.fr/fr/decision-de-controle-des-concentrations/relative-la-prise-de-controle-exclusif-du-groupe-telindus</w:t>
      </w:r>
    </w:p>
    <w:p>
      <w:r>
        <w:t>Pages translated : 6</w:t>
      </w:r>
    </w:p>
    <w:p/>
    <w:p>
      <w:r>
        <w:rPr>
          <w:b/>
        </w:rPr>
        <w:t>[Pages 1–3]</w:t>
      </w:r>
    </w:p>
    <w:p>
      <w:r>
        <w:t xml:space="preserve">FRENCH REPUBLIC  </w:t>
        <w:br/>
        <w:t xml:space="preserve">Decision No. 14-DCC-62 of April 29, 2014  </w:t>
        <w:br/>
        <w:t xml:space="preserve">regarding the exclusive control of the Telindus France group by  </w:t>
        <w:br/>
        <w:t xml:space="preserve">the Vivendi group  </w:t>
        <w:br/>
        <w:t xml:space="preserve">The Competition Authority,  </w:t>
        <w:br/>
        <w:t xml:space="preserve">Having regard to the notification file submitted in full to the merger service on March 31, 2014,  </w:t>
        <w:br/>
        <w:t xml:space="preserve">regarding the exclusive control of the Telindus France group by the Vivendi group,  </w:t>
        <w:br/>
        <w:t xml:space="preserve">formalized by a share purchase and sale agreement dated March 23, 2014;  </w:t>
        <w:br/>
        <w:t xml:space="preserve">Having regard to Book IV of the Commercial Code relating to the freedom of prices and competition, and  </w:t>
        <w:br/>
        <w:t xml:space="preserve">notably its Articles L. 430-1 to L. 430-7;  </w:t>
        <w:br/>
        <w:t xml:space="preserve">Adopts the following decision:  </w:t>
        <w:br/>
        <w:t xml:space="preserve">I. The concerned companies and the operation  </w:t>
        <w:br/>
        <w:t xml:space="preserve">1. Vivendi SA (hereinafter "Vivendi") is the parent company of a group active in the sectors of  </w:t>
        <w:br/>
        <w:t xml:space="preserve">pay television and cinema, through its subsidiary Groupe Canal Plus, music, through Universal  </w:t>
        <w:br/>
        <w:t xml:space="preserve">Music Group, interactive games, and electronic communications, through its subsidiary SFR.  </w:t>
        <w:br/>
        <w:t xml:space="preserve">Vivendi holds exclusive control of SFR, a company primarily active in the mobile telephony,  </w:t>
        <w:br/>
        <w:t xml:space="preserve">high-speed Internet, fixed telephony, and pay television sectors.  </w:t>
        <w:br/>
        <w:t xml:space="preserve">2. Groupe Telindus France (hereinafter "Telindus") is currently controlled by the company  </w:t>
        <w:br/>
        <w:t xml:space="preserve">Belgacom. Groupe Telindus France exclusively controls the companies Telindus France and  </w:t>
        <w:br/>
        <w:t xml:space="preserve">Telindus Morocco. The group specializes in the integration and operation of  </w:t>
        <w:br/>
        <w:t xml:space="preserve">IT and telecommunications infrastructures on behalf of businesses.  </w:t>
        <w:br/>
        <w:t xml:space="preserve">3. Under the share purchase and sale agreement dated March 23, 2014, the operation  </w:t>
        <w:br/>
        <w:t xml:space="preserve">consists of the acquisition by Vivendi, through an acquisition vehicle it wholly owns, of  </w:t>
        <w:br/>
        <w:t xml:space="preserve">all the shares of Groupe Telindus France from Belgacom. The notified operation  </w:t>
        <w:br/>
        <w:t xml:space="preserve">therefore results in the exclusive control of Groupe Telindus France by Vivendi, and  </w:t>
        <w:br/>
        <w:t xml:space="preserve">constitutes a concentration within the meaning of Article L. 430-1 of the Commercial Code.  </w:t>
        <w:br/>
        <w:t xml:space="preserve">4. The concerned companies together achieved a consolidated turnover excluding taxes on  </w:t>
        <w:br/>
        <w:t xml:space="preserve">a global scale of more than 150 million euros in the last closed fiscal year (Vivendi: 22.13  </w:t>
        <w:br/>
        <w:t xml:space="preserve">billion euros for the fiscal year ending December 31, 2013; Telindus: 241 million euros  </w:t>
        <w:br/>
        <w:t xml:space="preserve">for the same fiscal year). Each of these companies achieved, in France, a turnover  </w:t>
        <w:br/>
        <w:t xml:space="preserve">exceeding 50 million euros (Vivendi: 14.66 billion euros for the fiscal year ending December 31,  </w:t>
        <w:br/>
        <w:t xml:space="preserve">2013; Telindus: 241 million euros for the same fiscal year). Given these  </w:t>
        <w:br/>
        <w:t xml:space="preserve">turnovers, the operation does not fall under the jurisdiction of the European Union. However,  </w:t>
        <w:br/>
        <w:t xml:space="preserve">the control thresholds mentioned in I of Article L. 430-2 of the Commercial Code  </w:t>
        <w:br/>
        <w:t xml:space="preserve">are exceeded. This operation is therefore subject to the provisions of Articles L. 430-3 and  </w:t>
        <w:br/>
        <w:t xml:space="preserve">following of the Commercial Code relating to economic concentration.  </w:t>
        <w:br/>
        <w:t xml:space="preserve">II. Definition of Relevant Markets  </w:t>
        <w:br/>
        <w:t xml:space="preserve">5. The operation concerns, in terms of horizontal effects, the field of IT services and  </w:t>
        <w:br/>
        <w:t xml:space="preserve">communication services. The target company is indeed active in the sector of  </w:t>
        <w:br/>
        <w:t xml:space="preserve">integration and operation of IT and telecommunications infrastructures for businesses.  </w:t>
        <w:br/>
        <w:t xml:space="preserve">Telindus is particularly involved in the fields of enterprise networks, data storage,  </w:t>
        <w:br/>
        <w:t xml:space="preserve">virtualization, and security.  </w:t>
        <w:br/>
        <w:t xml:space="preserve">6. SFR also offers, through its subsidiary SFR Business Team, certain IT services and  </w:t>
        <w:br/>
        <w:t xml:space="preserve">communication services to its clients.  </w:t>
        <w:br/>
        <w:t xml:space="preserve">7. SFR is primarily active in the telecommunications sector. In this case, given  </w:t>
        <w:br/>
        <w:t xml:space="preserve">Telindus's activities, it appears that the retail markets for fixed telephony and  </w:t>
        <w:br/>
        <w:t xml:space="preserve">high-speed Internet access are concerned as there is a complementarity between  </w:t>
        <w:br/>
        <w:t xml:space="preserve">IT services and telecommunications services, on the one hand, and fixed telephony and  </w:t>
        <w:br/>
        <w:t xml:space="preserve">Internet access services on the other, which can be offered together as part of integrated  </w:t>
        <w:br/>
        <w:t xml:space="preserve">offers.  </w:t>
        <w:br/>
        <w:t xml:space="preserve">8. The wholesale telecommunications markets are, however, not concerned by  </w:t>
        <w:br/>
        <w:t xml:space="preserve">the operation. Indeed, Telindus does not operate in any way in the wholesale telecommunications  </w:t>
        <w:br/>
        <w:t xml:space="preserve">markets to build its service offerings.  </w:t>
        <w:br/>
        <w:t xml:space="preserve">A. THE MARKETS FOR IT SERVICES  </w:t>
        <w:br/>
        <w:t xml:space="preserve">9. The parties are simultaneously present in the IT services sector. The  </w:t>
        <w:br/>
        <w:t xml:space="preserve">French and community competition authorities have already had the opportunity to express  </w:t>
        <w:br/>
        <w:t xml:space="preserve">themselves on the delimitation of the relevant markets in this sector, while leaving the question open.  </w:t>
        <w:br/>
        <w:t xml:space="preserve">10. The authorities have thus identified, within the IT services market, seven functional  </w:t>
        <w:br/>
        <w:t xml:space="preserve">categories of service: (i) global management services, (ii) enterprise management services,  </w:t>
        <w:br/>
        <w:t xml:space="preserve">(iii) software development and integration, (iv) consulting, (v) software maintenance and  </w:t>
        <w:br/>
        <w:t xml:space="preserve">logistical support, (vi) hardware maintenance and logistical support, and (vii) teaching and training.  </w:t>
        <w:br/>
        <w:t xml:space="preserve">The European Commission has also identified a segment of information technology outsourcing  </w:t>
        <w:br/>
        <w:t xml:space="preserve">which includes, according to the notifying party: Public Cloud Computing services, IaaS  </w:t>
        <w:br/>
        <w:t xml:space="preserve">("infrastructure as a service") services, and IT infrastructure outsourcing services including  </w:t>
        <w:br/>
        <w:t xml:space="preserve">data center services, network outsourcing, outsourcing for end-user equipment as well as  </w:t>
        <w:br/>
        <w:t xml:space="preserve">outsourcing of IT support activities and finally application outsourcing services. Finally,  </w:t>
        <w:br/>
        <w:t xml:space="preserve">the notifying party considers that it is appropriate to identify a distinct segment of IT security  </w:t>
        <w:br/>
        <w:t xml:space="preserve">(security and confidentiality of data), as this service is not substitutable for others.  </w:t>
        <w:br/>
        <w:t xml:space="preserve">11. Different alternative or complementary segmentations have also been considered  </w:t>
        <w:br/>
        <w:t xml:space="preserve">according to:  </w:t>
        <w:br/>
        <w:t xml:space="preserve">- the type of clientele: SMEs or large accounts;  </w:t>
        <w:br/>
        <w:t xml:space="preserve">- the types of information and communication systems: (i) management application systems,  </w:t>
        <w:br/>
        <w:t xml:space="preserve">which include IT services used to fulfill a horizontal function within businesses or administrations;  </w:t>
        <w:br/>
        <w:t xml:space="preserve">(ii) embedded scientific and technical industrial application systems; (iii) generic application systems;  </w:t>
        <w:br/>
        <w:t xml:space="preserve">(iv) IT infrastructure systems; and (v) communication and enterprise network infrastructure systems.  </w:t>
        <w:br/>
        <w:t xml:space="preserve">- the sector of activity, namely: (i) communications, (ii) education, (iii) energy and  </w:t>
        <w:br/>
        <w:t xml:space="preserve">local networks, (iv) financial services, (v) the public sector, (vi) health, (vii)  </w:t>
        <w:br/>
        <w:t xml:space="preserve">industry, (viii) commerce and distribution, (ix) services, and (x) transport.  </w:t>
        <w:br/>
        <w:t xml:space="preserve">12. The notifying party considers that segmentation by types of information and  </w:t>
        <w:br/>
        <w:t xml:space="preserve">communication systems is not relevant as it does not correspond to the organization of the  </w:t>
        <w:br/>
        <w:t xml:space="preserve">activities of the concerned companies.  </w:t>
        <w:br/>
        <w:t xml:space="preserve">13. In this case, there is no need to challenge the segmentations considered, as the  </w:t>
        <w:br/>
        <w:t xml:space="preserve">competitive analysis remains unchanged regardless of the delimitation retained.  </w:t>
        <w:br/>
        <w:t xml:space="preserve">14. Telindus is primarily present with large accounts while SFR has a clientele of large accounts and SMEs. Both parties offer consulting services, hardware maintenance, and logistical support,  </w:t>
        <w:br/>
        <w:t xml:space="preserve">information technology outsourcing, and IT security. Furthermore, they have no sectoral specialization.  </w:t>
        <w:br/>
        <w:t xml:space="preserve">15. Regarding geographical delimitation, the Competition Authority has generally  </w:t>
        <w:br/>
        <w:t xml:space="preserve">considered that this market was of national dimension, even though the European Commission has  </w:t>
        <w:br/>
        <w:t xml:space="preserve">had the opportunity to consider a market of Western Europe or a market encompassing Belgium and Luxembourg.  </w:t>
        <w:br/>
        <w:t xml:space="preserve">B. THE MARKETS FOR COMMUNICATION SERVICES TO BUSINESSES  </w:t>
        <w:br/>
        <w:t xml:space="preserve">16. Communication services for businesses have been defined by the European Commission  </w:t>
        <w:br/>
        <w:t>as "products and services [...] used by client businesses."</w:t>
      </w:r>
    </w:p>
    <w:p>
      <w:r>
        <w:rPr>
          <w:b/>
        </w:rPr>
        <w:t>[Pages 4–6]</w:t>
      </w:r>
    </w:p>
    <w:p>
      <w:r>
        <w:t>all sizes in order to improve work and collaborative communications and […] designed to allow simple and harmonious use for all types of communications (telephone, fax, email, messaging, video conferences, instant messaging, etc.)."</w:t>
      </w:r>
    </w:p>
    <w:p>
      <w:r>
        <w:t>17. The Commission considered several segmentations in the business communication services sector:</w:t>
        <w:br/>
        <w:t>- segmentation by functionality: advanced telephony, unified messaging services, video conferencing...;</w:t>
        <w:br/>
        <w:t>- segmentation based on the platform (PC, smartphone, tablet);</w:t>
        <w:br/>
        <w:t>- segmentation based on the operating system;</w:t>
        <w:br/>
        <w:t>- segmentation based on the size of the clients.</w:t>
      </w:r>
    </w:p>
    <w:p>
      <w:r>
        <w:t>18. Furthermore, the Commission considered that video communication solutions constituted distinct markets.</w:t>
      </w:r>
    </w:p>
    <w:p>
      <w:r>
        <w:t>19. There is no reason to challenge these delimitations in the context of the present operation.</w:t>
      </w:r>
    </w:p>
    <w:p>
      <w:r>
        <w:t>20. In this case, the parties only propose managed telephony services (management of the entire telephone installation on behalf of a company), collaboration applications (messaging services and video conferencing solutions) as well as contact centers (call routing solutions for companies that make mass calls in outgoing or incoming).</w:t>
      </w:r>
    </w:p>
    <w:p>
      <w:r>
        <w:t>21. Regarding the geographical dimension, the Commission considered that the market for communication services to businesses covered at least the EEA. In this case, however, the notifying party estimated market shares at the national level, the most unfavorable hypothesis.</w:t>
      </w:r>
    </w:p>
    <w:p>
      <w:r>
        <w:t>C. RETAIL MARKETS FOR FIXED ELECTRONIC COMMUNICATIONS</w:t>
      </w:r>
    </w:p>
    <w:p>
      <w:r>
        <w:t>22. Electronic communications are the core business of SFR, with Telindus not being present in this sector.</w:t>
      </w:r>
    </w:p>
    <w:p>
      <w:r>
        <w:t>23. Nevertheless, the markets for electronic communications aimed at businesses have a connection with IT services and communication services, given the complementarity of these activities: following the operation, the new entity will indeed be able to offer packages combining electronic communications as well as associated IT and communication services to meet the needs of businesses. The notifying party indicated that the new entity would be able to offer both internal technical solutions to businesses (network architecture, communication system) and external telephone and Internet access by providing a comprehensive commercial offer.</w:t>
      </w:r>
    </w:p>
    <w:p>
      <w:r>
        <w:t>24. It should be noted that this complementarity concerns only fixed electronic communications, as the target does not offer any mobile telephony services.</w:t>
      </w:r>
    </w:p>
    <w:p>
      <w:r>
        <w:t>25. In this case, SFR, through its subsidiary SBT, offers businesses fixed telephony services and broadband Internet access.</w:t>
      </w:r>
    </w:p>
    <w:p>
      <w:r>
        <w:t>26. The fixed telephony markets encompass all access services to the network and voice transmission. A distinction can be made between the market for access to the public telephone network and the market for communications over the public switched telephone network ("PSTN"). Within these markets, an additional segmentation can be made based on the type of clientele, distinguishing services provided to individuals from those provided to businesses. The Authority believes that these markets are of national dimension but has also previously distinguished between the markets of the mainland and overseas territories.</w:t>
      </w:r>
    </w:p>
    <w:p>
      <w:r>
        <w:t>27. Regarding Internet access, the competition authorities distinguish the market for providing low-speed Internet access (via the public switched telephone network) and the market for providing high-speed and very high-speed Internet access (via cable, ADSL, and fiber technologies). Furthermore, the markets for providing Internet access can be segmented according to the type of client, distinguishing between the general public, referred to as "residential," and business clients, referred to as "non-residential." The Competition Authority considers that these markets are of national dimension but that it is appropriate to distinguish the DROM.</w:t>
      </w:r>
    </w:p>
    <w:p>
      <w:r>
        <w:t>28. There is no reason to challenge these delimitations in the context of the present operation.</w:t>
      </w:r>
    </w:p>
    <w:p>
      <w:r>
        <w:t>III. Competitive Analysis</w:t>
      </w:r>
    </w:p>
    <w:p>
      <w:r>
        <w:t>A. HORIZONTAL EFFECTS</w:t>
      </w:r>
    </w:p>
    <w:p>
      <w:r>
        <w:t>29. Regarding IT services, the activities of SFR and Telindus overlap in the segments of consulting, maintenance of IT equipment and logistical support, outsourcing of information technology, and IT security.</w:t>
      </w:r>
    </w:p>
    <w:p>
      <w:r>
        <w:t>30. In the first three categories of services, the market share of the new entity at the French level would be less than [0-5]% in value. Regarding IT security, the new entity would have a market share estimated at [10-20]% in value, resulting from a low addition of market share, with SFR being weakly present in this segment ([0-5]%).</w:t>
      </w:r>
    </w:p>
    <w:p>
      <w:r>
        <w:t>31. Furthermore, several significant competitors are present in these markets: Orange Business Services, SPIE Communications, Nextira One France, IBM Global Services, British Telecom Services, and Bull.</w:t>
      </w:r>
    </w:p>
    <w:p>
      <w:r>
        <w:t>32. Regarding business communication services, the activities of the parties overlap in the segments of managed telephony, collaboration solutions, and contact centers.</w:t>
      </w:r>
    </w:p>
    <w:p>
      <w:r>
        <w:t>33. At the national level, the market share in each of the relevant segments will not exceed [0-5]%, with a market share addition of less than [0-5]%.</w:t>
      </w:r>
    </w:p>
    <w:p>
      <w:r>
        <w:t>34. Moreover, several significant competitors are present in these markets: Orange Business Services, SPIE Communications, Nextira One France, IBM Global Services, British Telecom Services, and Bull.</w:t>
      </w:r>
    </w:p>
    <w:p>
      <w:r>
        <w:t>35. The operation is therefore not likely to raise competition issues through horizontal effects in these markets.</w:t>
      </w:r>
    </w:p>
    <w:p>
      <w:r>
        <w:t>B. CONGLOMERATE EFFECTS</w:t>
      </w:r>
    </w:p>
    <w:p>
      <w:r>
        <w:t>36. SFR is present in the retail markets for fixed telephony and Internet access, which are related to the markets for IT services and business communication services.</w:t>
      </w:r>
    </w:p>
    <w:p>
      <w:r>
        <w:t>37. SFR has market shares in value estimated by the notifying party at [10-20]% in the market for access to the public telephone network and the market for communications over the public switched telephone network. Regarding the retail market for high-speed Internet access aimed at businesses, SFR has a market share in value of [20-30]%.</w:t>
      </w:r>
    </w:p>
    <w:p>
      <w:r>
        <w:t>38. Thus, given SFR's position in these markets and Telindus's very limited position in IT services and communication services, the operation is not likely to raise competition issues through conglomerate effects in these markets.</w:t>
      </w:r>
    </w:p>
    <w:p>
      <w:r>
        <w:t>DECIDES</w:t>
      </w:r>
    </w:p>
    <w:p>
      <w:r>
        <w:t>Sole Article: The operation notified under number 14-035 is authorized.</w:t>
      </w:r>
    </w:p>
    <w:p>
      <w:r>
        <w:t>The Vice-President,</w:t>
        <w:br/>
        <w:t>Élisabeth Flüry-Hérard</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