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https://www.autoritedelaconcurrence.fr/fr/decision-de-controle-des-concentrations/relative-la-prise-de-controle-exclusif-du-groupe-theolaur</w:t>
      </w:r>
    </w:p>
    <w:p>
      <w:r>
        <w:t>Pages translated : 2</w:t>
      </w:r>
    </w:p>
    <w:p/>
    <w:p>
      <w:r>
        <w:rPr>
          <w:b/>
        </w:rPr>
        <w:t>[Pages 1–2]</w:t>
      </w:r>
    </w:p>
    <w:p>
      <w:r>
        <w:t xml:space="preserve">FRENCH REPUBLIC  </w:t>
        <w:br/>
        <w:t xml:space="preserve">Decision No. 23-DCC-124 of June 20, 2023  </w:t>
        <w:br/>
        <w:t xml:space="preserve">regarding the exclusive control acquisition of the Théolaur group by  </w:t>
        <w:br/>
        <w:t xml:space="preserve">Geneo Capital  </w:t>
        <w:br/>
        <w:t xml:space="preserve">The Competition Authority,  </w:t>
        <w:br/>
        <w:t xml:space="preserve">Having regard to the complete notification file sent to the mergers department on June 2, 2023, concerning the exclusive control acquisition of Acteo, the parent company of the Théolaur group, by Geneo Capital, through the newly created company Newco, formalized by a memorandum of understanding signed on May 31,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Geneo Capital of the Théolaur group, which is active in the markets of production, wholesale and retail distribution of decorative coatings.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23-148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