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https://www.autoritedelaconcurrence.fr/fr/decision-de-controle-des-concentrations/relative-la-prise-de-controle-exclusif-du-groupe-thomas</w:t>
      </w:r>
    </w:p>
    <w:p>
      <w:r>
        <w:t>Pages translated : 2</w:t>
      </w:r>
    </w:p>
    <w:p/>
    <w:p>
      <w:r>
        <w:rPr>
          <w:b/>
        </w:rPr>
        <w:t>[Pages 1–2]</w:t>
      </w:r>
    </w:p>
    <w:p>
      <w:r>
        <w:t xml:space="preserve">FRENCH REPUBLIC  </w:t>
        <w:br/>
        <w:t xml:space="preserve">Decision No. 26-DCC-120 of May 27, 2026  </w:t>
        <w:br/>
        <w:t xml:space="preserve">regarding the exclusive control acquisition of the Thomas Plants group  </w:t>
        <w:br/>
        <w:t xml:space="preserve">by the company Galiena Capital  </w:t>
        <w:br/>
        <w:t xml:space="preserve">The Competition Authority,  </w:t>
        <w:br/>
        <w:t xml:space="preserve">Having regard to the complete notification file submitted to the mergers department on April 29, 2026,  </w:t>
        <w:br/>
        <w:t xml:space="preserve">concerning the exclusive control acquisition of the Thomas Plants group by the company Galiena Capital,  </w:t>
        <w:br/>
        <w:t xml:space="preserve">formalized by a unilateral investment promise concluded on March 9,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Galiena Capital, of the  </w:t>
        <w:br/>
        <w:t xml:space="preserve">Thomas Plants group, whose main activity consists of the production of seeds and vegetable plants. The operation constitutes a concentration, within the meaning of Article L. 430-1 of the  </w:t>
        <w:br/>
        <w:t xml:space="preserve">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26-091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