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https://www.autoritedelaconcurrence.fr/fr/decision-de-controle-des-concentrations/relative-la-prise-de-controle-exclusif-du-groupe-tipiak-par</w:t>
      </w:r>
    </w:p>
    <w:p>
      <w:r>
        <w:t>Pages translated : 2</w:t>
      </w:r>
    </w:p>
    <w:p/>
    <w:p>
      <w:r>
        <w:rPr>
          <w:b/>
        </w:rPr>
        <w:t>[Pages 1–2]</w:t>
      </w:r>
    </w:p>
    <w:p>
      <w:r>
        <w:t xml:space="preserve">REPUBLIC OF FRANCE  </w:t>
        <w:br/>
        <w:t xml:space="preserve">Decision No. 24-DCC-94 of May 23, 2024  </w:t>
        <w:br/>
        <w:t>regarding the exclusive control acquisition of the Tipiak group by the Terrena group</w:t>
      </w:r>
    </w:p>
    <w:p>
      <w:r>
        <w:t>The Competition Authority,</w:t>
      </w:r>
    </w:p>
    <w:p>
      <w:r>
        <w:t>Having regard to the complete notification file sent to the mergers department on May 3, 2024, concerning the exclusive control acquisition of Tipiak S.A., the holding company of the Tipiak group, by C2 Développement, a subsidiary of the Terrena group, formalized by a purchase promise from Terrena accepted by the majority shareholders of Tipiak, Maison Groult, Société de gestion Billard, and Mr. Hubert Grouès, dated December 13, 2023;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C2 Développement of Tipiak S.A., which is notably active in the sector of manufacturing and marketing of dry and frozen products.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23-332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