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https://www.autoritedelaconcurrence.fr/fr/decision-de-controle-des-concentrations/relative-la-prise-de-controle-exclusif-du-groupe-tkh-france</w:t>
      </w:r>
    </w:p>
    <w:p>
      <w:r>
        <w:t>Pages translated : 2</w:t>
      </w:r>
    </w:p>
    <w:p/>
    <w:p>
      <w:r>
        <w:rPr>
          <w:b/>
        </w:rPr>
        <w:t>[Pages 1–2]</w:t>
      </w:r>
    </w:p>
    <w:p>
      <w:r>
        <w:t xml:space="preserve">FRENCH REPUBLIC  </w:t>
        <w:br/>
        <w:t xml:space="preserve">Decision No. 23-DCC-146 of July 26, 2023  </w:t>
        <w:br/>
        <w:t xml:space="preserve">regarding the exclusive control acquisition of the TKH France group by the  </w:t>
        <w:br/>
        <w:t xml:space="preserve">company SCS Wityu Holding  </w:t>
        <w:br/>
        <w:t xml:space="preserve">The Competition Authority,  </w:t>
        <w:br/>
        <w:t xml:space="preserve">Having regard to the complete notification file sent to the mergers department on July 4, 2023,  </w:t>
        <w:br/>
        <w:t xml:space="preserve">concerning the exclusive control acquisition of the TKH France group by the company SCS Wityu Holding,  </w:t>
        <w:br/>
        <w:t xml:space="preserve">formalized by a purchase promise dated May 31, 2023;  </w:t>
        <w:br/>
        <w:t xml:space="preserve">Having regard to Book IV of the Commercial Code relating to the freedom of prices and competition, and  </w:t>
        <w:br/>
        <w:t xml:space="preserve">notably its Articles L. 430-1 to L. 430-7;  </w:t>
        <w:br/>
        <w:t xml:space="preserve">Having regard to the additional elements provided by the notifying party during the investigation;  </w:t>
        <w:br/>
        <w:t xml:space="preserve">Adopts the following decision:  </w:t>
        <w:br/>
        <w:t xml:space="preserve">1. The notified operation consists of the exclusive control acquisition, by the company SCS Wityu Holding,  </w:t>
        <w:br/>
        <w:t xml:space="preserve">of the TKH France group, which is primarily active in the sectors of value-added distribution of electronic components and scientific instrumentation. It constitutes a concentration operation within the meaning of Article L. 430-1 of the Commercial Code. Given the turnover generated by the concerned companies, the operation does not fall under the jurisdiction of the European Union. On the other hand,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23-152 is authorized.  </w:t>
        <w:br/>
        <w:t xml:space="preserve">The Vice-President,  </w:t>
        <w:br/>
        <w:t xml:space="preserve">Henri Piffaut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