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https://www.autoritedelaconcurrence.fr/fr/decision-de-controle-des-concentrations/relative-la-prise-de-controle-exclusif-du-groupe-todd-par</w:t>
      </w:r>
    </w:p>
    <w:p>
      <w:r>
        <w:t>Pages translated : 8</w:t>
      </w:r>
    </w:p>
    <w:p/>
    <w:p>
      <w:r>
        <w:rPr>
          <w:b/>
        </w:rPr>
        <w:t>[Pages 1–3]</w:t>
      </w:r>
    </w:p>
    <w:p>
      <w:r>
        <w:t xml:space="preserve">FRENCH REPUBLIC  </w:t>
        <w:br/>
        <w:t xml:space="preserve">Decision No. 19-DCC-182 of September 27, 2019  </w:t>
        <w:br/>
        <w:t xml:space="preserve">regarding the exclusive control of the TODD group by the company  </w:t>
        <w:br/>
        <w:t>Alliance Automotive France</w:t>
      </w:r>
    </w:p>
    <w:p>
      <w:r>
        <w:t xml:space="preserve">The Competition Authority,  </w:t>
        <w:br/>
        <w:t xml:space="preserve">Having regard to the notification file submitted in full to the merger service on September 2, 2019, regarding the exclusive control of the TODD group by the company Alliance Automotive France, formalized by a share transfer agreement dated July 17, 2019;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Alliance Automotive France (hereinafter "AAF") is a subsidiary of the Alliance Automotive Group (hereinafter "AAG"), ultimately controlled by the American company Genuine Parts Company. AAG distributes spare parts and accessories for passenger cars, light vehicles, and heavy goods vehicles and also offers maintenance services in France, Germany, Belgium, the Netherlands, and the United Kingdom through its network of distributors, both integrated and independent, and garages. In France, AAG's automotive distribution activity is organized around the distribution groups Groupauto, Precisium, Partner’s, and Gef’Auto. Furthermore, AAG also manages the franchise networks Étape Auto and Étape Auto Relais and Pièces Auto and Pièces Auto Relais.  </w:t>
        <w:br/>
        <w:t xml:space="preserve">2. TODD is the company at the head of the eponymous group, which engages in wholesale distribution of spare parts and accessories and repair of heavy goods vehicles under the brands TODD and Safir and as a purchasing center.  </w:t>
        <w:br/>
        <w:t>1 The TODD group also has a marginal activity in the distribution of spare parts and accessories for utility vehicles.</w:t>
      </w:r>
    </w:p>
    <w:p>
      <w:r>
        <w:t xml:space="preserve">3. The operation, formalized by a share transfer agreement dated July 17, 2019, involves the acquisition by the company AAF of all shares and voting rights of TODD. As it results in the exclusive control of the TODD group by the AAG group, the operation constitutes a concentration operation within the meaning of Article L. 430-1 of the Commercial Code.  </w:t>
        <w:br/>
        <w:t>4. The companies concerned together achieve a total worldwide turnover excluding taxes of more than 150 million euros (AAG: [≥ 150 million] euros for the fiscal year ending December 31, 2018; TODD: [≤ 150 million] euros for the same fiscal year). Each of these companies has achieved a turnover in France exceeding 50 million euros (AAG: [≥ 50 million] euros for the fiscal year ending December 31, 2018; TODD: [≥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activities of the parties overlap in the markets for the supply of automotive spare parts (A), wholesale distribution of automotive spare parts (B), and retail distribution of automotive spare parts and maintenance and repair services for motor vehicles (C).  </w:t>
        <w:br/>
        <w:t xml:space="preserve">A. UPSTREAM MARKETS FOR THE SUPPLY OF SPARE PARTS  </w:t>
        <w:br/>
        <w:t xml:space="preserve">a) Product market  </w:t>
        <w:br/>
        <w:t xml:space="preserve">6. The Competition Authority considers that the supply of spare parts and automotive accessories constitutes a distinct product market. It has also considered, within this market, segmentations according to the distribution channel, type of parts, as well as the type of vehicles in which these parts are integrated.  </w:t>
        <w:br/>
        <w:t xml:space="preserve">7. Regarding the distribution channels for spare parts, the Authority noted that this sector was "organized around two fairly compartmentalized distribution channels, with suppliers being manufacturers, who only sell their parts to their authorized network ("manufacturer channel"), and equipment manufacturers, who can sell the parts manufactured not only to manufacturers but also to independent distributors. The latter then sell these parts to authorized networks, but also and especially to independent repairers ("independent channel")." Thus, "equipment manufacturers who produce parts intended for original equipment can sell to manufacturers the parts intended for replacement, for resale, but can also supply wholesalers in the independent channel (frequently called "IAM" for Independent Aftermarket), who in turn resell them to repairers, most often independent."  </w:t>
        <w:br/>
        <w:t xml:space="preserve">8. Competition authorities have thus distinguished the market for sales to automobile manufacturers for new equipment (OEM – Original Equipment Manufacturer) and for supplying their dealer networks with spare parts (OES – Original Equipment Services) and the market for the resale of spare parts by independent resellers (IAM – Independent Aftermarket). It is on the market for the resale of spare parts by independent resellers that spare parts distributed by large distribution networks or vehicle maintenance specialists are found.  </w:t>
        <w:br/>
        <w:t xml:space="preserve">9. Regarding the types of spare parts, the Authority has considered adopting a segmentation established by European Regulation No. 1400/2002 according to which "spare parts and automotive accessories are grouped into different product categories. The regulation first distinguishes original parts which are parts manufactured by the automobile manufacturer itself or on its behalf or by specialized equipment manufacturers according to the specifications and production standards provided by the manufacturer. It then distinguishes equivalent quality parts which are not manufactured on the original chain but whose components are of equivalent or superior quality. Other spare parts constitute a third and final category. Automotive accessories are not considered spare parts."  </w:t>
        <w:br/>
        <w:t xml:space="preserve">10. Finally, regarding the types of vehicles in which spare parts are integrated, competition authorities have considered distinguishing parts intended for passenger vehicles and light commercial vehicles from parts intended for heavy goods vehicles.  </w:t>
        <w:br/>
        <w:t xml:space="preserve">11. There is no need to challenge these market delimitations in the context of the present operation.  </w:t>
        <w:br/>
        <w:t>12. In this case, the parties are simultaneously present in the market for the supply of spare parts and accessories for heavy goods vehicles in the independent reseller channel.</w:t>
      </w:r>
    </w:p>
    <w:p>
      <w:r>
        <w:rPr>
          <w:b/>
        </w:rPr>
        <w:t>[Pages 4–6]</w:t>
      </w:r>
    </w:p>
    <w:p>
      <w:r>
        <w:t xml:space="preserve">2. GEOGRAPHIC MARKET  </w:t>
        <w:br/>
        <w:t xml:space="preserve">13. Competition authorities generally consider that the markets for the supply of automotive spare parts are at least European in scope, insofar as automotive parts manufacturers operate throughout Europe and there are no divergences in technical standards or other regulatory barriers to trade within the European Economic Area for this type of products. However, they have noted elements that may lead to considering a narrower delineation of these markets, adopting a national dimension for the independent reseller channel, such as differences in prices or distribution structures depending on the country.  </w:t>
        <w:br/>
        <w:t xml:space="preserve">14. In the case at hand, the question of the precise geographic delineation of the markets for the supply of automotive spare parts may be left open, as, regardless of the dimension adopted, the conclusions of the competitive analysis remain unchanged.  </w:t>
        <w:br/>
        <w:t xml:space="preserve">B. MARKETS FOR WHOLESALE DISTRIBUTION OF AUTOMOTIVE SPARE PARTS  </w:t>
        <w:br/>
        <w:t xml:space="preserve">1. PRODUCT MARKET  </w:t>
        <w:br/>
        <w:t xml:space="preserve">15. The Authority noted that companies in the automotive sector distribute spare parts and accessories either at the wholesale stage or at the retail stage. Spare parts essential for the operation of the vehicle, primarily supplied by manufacturers or equipment manufacturers in the automotive industry under the designation "original parts," can first be distinguished from simple automotive accessories.  </w:t>
        <w:br/>
        <w:t xml:space="preserve">16. At the wholesale stage, spare parts are distributed by dealers in manufacturer networks and wholesalers in manufacturer networks to authorized repairers by the manufacturers, most of whom are members of distribution networks, and to independent repairers who install them as part of their repair and maintenance services or resell them at retail.  </w:t>
        <w:br/>
        <w:t xml:space="preserve">17. The Authority considered three types of parts based on the category to which their suppliers belong: original parts supplied by the manufacturer, identical original parts supplied by spare parts manufacturers, and equivalent quality spare parts supplied by other spare parts manufacturers. It also made a distinction based on the types of vehicles, light or heavy, in which the parts are integrated.  </w:t>
        <w:br/>
        <w:t xml:space="preserve">18. The notifying party considers that segmentation by distribution channel or by type of parts is not relevant. Nevertheless, there is no need to challenge these market delineations in the context of the present operation.  </w:t>
        <w:br/>
        <w:t xml:space="preserve">19. In this case, the parties are simultaneously present in the wholesale market for spare parts and accessories for heavy trucks.  </w:t>
        <w:br/>
        <w:t xml:space="preserve">2. GEOGRAPHIC MARKET  </w:t>
        <w:br/>
        <w:t xml:space="preserve">20. The Authority left open the question of the precise geographic delineation of the markets for wholesale distribution of automotive spare parts (European, national, or regional).  </w:t>
        <w:br/>
        <w:t xml:space="preserve">21. In this case, it is not necessary to resolve the question, as, regardless of the solution adopted, the conclusions of the competitive analysis will remain unchanged.  </w:t>
        <w:br/>
        <w:t xml:space="preserve">C. MARKETS FOR MAINTENANCE AND REPAIR SERVICES FOR AUTOMOTIVE VEHICLES  </w:t>
        <w:br/>
        <w:t xml:space="preserve">1. PRODUCT MARKETS  </w:t>
        <w:br/>
        <w:t xml:space="preserve">22. In the automotive distribution sector, the Authority distinguishes notably: the distribution of spare parts and automotive accessories and the distribution of maintenance and repair services for automotive vehicles. This segmentation has also been retained in the context of industrial vehicles, specifying that this notion covers heavy trucks on one hand, and buses and coaches on the other.  </w:t>
        <w:br/>
        <w:t xml:space="preserve">23. The repair and maintenance of heavy trucks primarily include mandatory regulatory maintenance, preventive maintenance, and occasionally corrective maintenance of a fleet of heavy trucks.  </w:t>
        <w:br/>
        <w:t xml:space="preserve">24. There is no need to challenge these market delineations in the context of the present operation.  </w:t>
        <w:br/>
        <w:t xml:space="preserve">25. In this case, the parties are simultaneously present in the market for the repair and maintenance of industrial vehicles.  </w:t>
        <w:br/>
        <w:t xml:space="preserve">2. GEOGRAPHIC MARKETS  </w:t>
        <w:br/>
        <w:t xml:space="preserve">26. Regarding the markets for the repair and maintenance of heavy trucks, the Minister of Economy, in his letter C2007-325, conducted an analysis at both the departmental and national levels.  </w:t>
        <w:br/>
        <w:t xml:space="preserve">27. The previous decisional practice of the Authority estimates that the acquisition of industrial vehicles is predominantly carried out by companies, whose scope of prospecting before purchasing a new vehicle can be significantly broader than that of individuals wishing to acquire a car.  </w:t>
        <w:br/>
        <w:t xml:space="preserve">28. The question of the exact delineation of these markets may nevertheless remain open insofar as the conclusions of the competitive analysis remain identical, regardless of the geographic definition adopted.  </w:t>
        <w:br/>
        <w:t xml:space="preserve">III. Competitive Analysis  </w:t>
        <w:br/>
        <w:t xml:space="preserve">29. The activities of the parties overlap in the markets for the supply of automotive spare parts, wholesale distribution of automotive spare parts, and maintenance and repair services for automotive vehicles.  </w:t>
        <w:br/>
        <w:t xml:space="preserve">A. UPSTREAM MARKETS FOR THE SUPPLY OF SPARE PARTS  </w:t>
        <w:br/>
        <w:t xml:space="preserve">30. The combined market share of the parties does not exceed 10% in the market for the supply of spare parts for heavy trucks through the independent reseller channel, regardless of the market considered.  </w:t>
        <w:br/>
        <w:t xml:space="preserve">31. The new entity will face competition in this market from other operators, such as Autodis Group, CBM, or Ital Express.  </w:t>
        <w:br/>
        <w:t xml:space="preserve">32. Consequently, the operation is not likely to harm competition in the upstream markets for the supply of spare parts through horizontal effects.  </w:t>
        <w:br/>
        <w:t xml:space="preserve">B. MARKETS FOR WHOLESALE DISTRIBUTION OF AUTOMOTIVE SPARE PARTS  </w:t>
        <w:br/>
        <w:t xml:space="preserve">33. In the market for wholesale distribution of spare parts, in addition to its own activities, AAG operates several distribution networks: Groupauto France, Précisium Groupe, Partner’s, and Gef’Auto.  </w:t>
        <w:br/>
        <w:t>34. In its decision n° 13-DCC-42 cited above, the Authority concluded that all distributors and repairers affiliated with AAG's networks were commercially autonomous from their suppliers.</w:t>
      </w:r>
    </w:p>
    <w:p>
      <w:r>
        <w:rPr>
          <w:b/>
        </w:rPr>
        <w:t>[Pages 7–8]</w:t>
      </w:r>
    </w:p>
    <w:p>
      <w:r>
        <w:t>head of the network, with the exception of the branded wholesale distributors under Précisium and the repairers under Étape Auto and Étape Auto Relais. The notifying party argues that the membership contract for the Précisium group has been modified to align it with the model in effect at the time of the decision within the Groupauto network, whose members had been considered commercially autonomous by the Authority.</w:t>
      </w:r>
    </w:p>
    <w:p>
      <w:r>
        <w:t>35. Regarding the autonomy of members of AAG's distribution networks, the contractual provisions related to the supply of Précisium, Partner’s, and Gaf Auto members do not seem to deprive them of their commercial autonomy vis-à-vis the head of the network. On the other hand, it should be noted that the duration of membership in the Groupauto network has recently been extended to […] years. This contractual modification could limit the autonomy of the parties from a commercial perspective. However, the question of the commercial autonomy of these distributors and their potential integration into the parties in the competitive analysis can be left open, as the conclusions of the analysis remain unchanged, regardless of the position taken.</w:t>
      </w:r>
    </w:p>
    <w:p>
      <w:r>
        <w:t>36. In the national market for the wholesale distribution of spare parts for heavy goods vehicles, where the activities of the parties overlap, the notifying party estimates that the market share of the new entity, including the Groupauto network, will not exceed 15% regardless of the segmentation adopted.</w:t>
      </w:r>
    </w:p>
    <w:p>
      <w:r>
        <w:t>37. At the regional level, the market shares of the new entity estimated by the notifying party, including the Groupauto network, in the wholesale distribution market for spare parts for heavy goods vehicles, will not exceed 25% across all regions.</w:t>
      </w:r>
    </w:p>
    <w:p>
      <w:r>
        <w:t>38. Furthermore, there is a significant number of competitors in these markets, including Autodis Group, CBM, and Ital Express.</w:t>
      </w:r>
    </w:p>
    <w:p>
      <w:r>
        <w:t>39. Consequently, the notified operation is not likely to harm competition in the markets for the wholesale distribution of automotive spare parts.</w:t>
      </w:r>
    </w:p>
    <w:p>
      <w:r>
        <w:t>C. MARKETS FOR MAINTENANCE AND REPAIR SERVICES FOR INDUSTRIAL VEHICLES</w:t>
      </w:r>
    </w:p>
    <w:p>
      <w:r>
        <w:t>40. The parties are simultaneously active in the retail markets for the distribution of maintenance and repair services for industrial vehicles.</w:t>
      </w:r>
    </w:p>
    <w:p>
      <w:r>
        <w:t>41. At the national and regional levels, the market shares of the new entity, including repairers affiliated with the Groupauto network under the "Top Truck" brand, will be respectively below [5-10]% and [10-20]%.</w:t>
      </w:r>
    </w:p>
    <w:p>
      <w:r>
        <w:t>42. At the departmental level, the market shares of the parties, including repairers under the "Top Truck" brand, will not exceed 25% except in the departments of Isère (38) ([30-40]%) and Val-d’Oise (95) ([25-35]%).</w:t>
      </w:r>
    </w:p>
    <w:p>
      <w:r>
        <w:t>43. However, in these two departments, the new entity will still face strong competitive pressure from several large operators such as Renault Trucks and AD Isère for Isère and the IDLP group and Renault Trucks for Val-d’Oise.</w:t>
      </w:r>
    </w:p>
    <w:p>
      <w:r>
        <w:t>44. Consequently, the operation is not likely to harm competition through horizontal effects in the markets for maintenance and repair services for industrial vehicles.</w:t>
      </w:r>
    </w:p>
    <w:p>
      <w:r>
        <w:t>DECIDES</w:t>
      </w:r>
    </w:p>
    <w:p>
      <w:r>
        <w:t>Sole Article: The operation notified under number 19-202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