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https://www.autoritedelaconcurrence.fr/fr/decision-de-controle-des-concentrations/relative-la-prise-de-controle-exclusif-du-groupe-top-info</w:t>
      </w:r>
    </w:p>
    <w:p>
      <w:r>
        <w:t>Pages translated : 4</w:t>
      </w:r>
    </w:p>
    <w:p/>
    <w:p>
      <w:r>
        <w:rPr>
          <w:b/>
        </w:rPr>
        <w:t>[Pages 1–3]</w:t>
      </w:r>
    </w:p>
    <w:p>
      <w:r>
        <w:t xml:space="preserve">FRENCH REPUBLIC  </w:t>
        <w:br/>
        <w:t xml:space="preserve">Decision No. 11-DCC-36 of March 11, 2011  </w:t>
        <w:br/>
        <w:t xml:space="preserve">regarding the exclusive control  </w:t>
        <w:br/>
        <w:t>of the Top Info group by the Computacenter group</w:t>
      </w:r>
    </w:p>
    <w:p>
      <w:r>
        <w:t xml:space="preserve">The Competition Authority,  </w:t>
        <w:br/>
        <w:t xml:space="preserve">Having regard to the notification file submitted in full to the merger service on February 17, 2011, regarding the exclusive control of Top Info SAS and its 7 subsidiaries by the Computacenter group, formalized by the signing, dated February 14, 2011, of a share transfer agreement between Computacenter SA and Financière Top Info SA;  </w:t>
        <w:br/>
        <w:t xml:space="preserve">Having regard to Book IV of the Commercial Code relating to price freedom and competition, and in particular Articles L. 430-1 to L. 430-7;  </w:t>
        <w:br/>
        <w:t xml:space="preserve">Having regard to the supplementary elements transmitted by the parties during the investigation;  </w:t>
        <w:br/>
        <w:t>Adopts the following decision:</w:t>
      </w:r>
    </w:p>
    <w:p>
      <w:r>
        <w:t xml:space="preserve">I. The companies concerned and the transaction  </w:t>
        <w:br/>
        <w:t xml:space="preserve">1. Computacenter is a public limited company under French law that provides, through a network of 16 agencies spread across the entire national territory, products and services related to IT infrastructure to public and private organizations and companies. Its capital is 99% owned by Computacenter Plc, a company under English law and the head of the Computacenter group. The latter, established in five European countries, specializes in the provision of IT infrastructure services.  </w:t>
        <w:br/>
        <w:t>2. Top Info SAS, a simplified joint-stock company under French law, is the parent company of 7 French companies (Top Info Ouest, Top Info Sud Est, Top Info Centre, Top Info Technologies, Top Info System, Top Info Défense, and Logival), together constituting the Top Info group. This group specializes in the sale and distribution of IT products and services to public and private companies and primarily develops its activities in the Paris region and in the urban areas of Lille and Lyon.</w:t>
      </w:r>
    </w:p>
    <w:p>
      <w:r>
        <w:t xml:space="preserve">3. The transaction, formalized by a share transfer agreement signed on February 14, 2011, involves the acquisition by Computacenter SA of all the shares of Top Info SAS and its 7 subsidiaries from Financière Top Info, currently a shareholder of the Top Info group. As it results in the acquisition of exclusive control of the latter by the Computacenter group, the notified transaction is a concentration operation within the meaning of Article L. 430-1 of the Commercial Code.  </w:t>
        <w:br/>
        <w:t>4. The companies concerned together achieve a total worldwide turnover of more than 150 million euros (Computacenter group: 2.8 billion euros for the fiscal year ending December 31, 2009; Top Info group: 125 million euros for the same period). At least two of these companies achieve a turnover in France exceeding 50 million euros (Computacenter group: 360 million euros for the fiscal year ending December 31, 2009; Top Info group: 124 million euros for the same year). Given these turnover figures, the transaction does not have a community dimension. However, the control thresholds mentioned in I of Article L. 430-2 of the Commercial Code are exceeded. This transaction is therefore subject to the provisions of Articles L. 430-3 and following of the Commercial Code relating to economic concentration.</w:t>
      </w:r>
    </w:p>
    <w:p>
      <w:r>
        <w:t xml:space="preserve">II. Definition of the relevant markets  </w:t>
        <w:br/>
        <w:t>5. The parties to this transaction operate simultaneously in the only IT sector. The Computacenter group markets IT infrastructure products and services. The Top Info group generates almost all of its turnover from the resale of IT products, with the remainder of its activity corresponding to a few implementation and support services for IT solutions ancillary to the sale of products. Therefore, in the context of the examination of this transaction, only the activity of distributing IT equipment will be subject to competitive analysis.</w:t>
      </w:r>
    </w:p>
    <w:p>
      <w:r>
        <w:t xml:space="preserve">A. THE MARKETS FOR PRODUCTS AND SERVICES  </w:t>
        <w:br/>
        <w:t xml:space="preserve">6. The sector of IT equipment distribution, which includes the sale of desktop and portable computers, operating system software, office software, peripherals, and multimedia accessories, as well as installation and usage services directly related to this equipment, involves several categories of actors.  </w:t>
        <w:br/>
        <w:t>7. Upstream, manufacturers sell their products either directly to distributors or, more often, to wholesalers, whose role is to have a wide range of IT products and to supply these to their distributor clients within very short timeframes. It may also happen that the manufacturer addresses final customers directly. Downstream, three categories of retail distributors are distinguished: large and medium-sized generalist and specialized stores (e.g., Carrefour, Auchan, Boulanger, Fnac, etc.); value-added resellers (VARs who integrate their own software with the hardware purchased in bulk for resale); specialized distributors for professional clients ("corporate resellers").</w:t>
      </w:r>
    </w:p>
    <w:p>
      <w:r>
        <w:t xml:space="preserve">8. Both the European Commission and the Competition Authority have distinguished the wholesale market for computer products to distributors from the retail market for computer products, due to differences in delivery times, logistical capacities, and the range of products offered.  </w:t>
        <w:br/>
        <w:t xml:space="preserve">9. Within retail distribution, decision-making practice has identified the existence of three distinct segments corresponding to three categories of actors: hypermarkets, value-added resellers, and specialized distributors for professionals. A finer segmentation of retail distribution has also been considered, based on the type of equipment sold, distinguishing (i) microcomputers, servers, and laptops, (ii) printers and cartridges, (iii) software, and (iv) accessories and other peripherals.  </w:t>
        <w:br/>
        <w:t>10. In this case, the parties are simultaneously active in the only segment of specialized distribution for professionals and offer all types of IT equipment. In this instance, the question of a finer subdivision of the markets can be left open insofar as, regardless of the hypothesis retained, the conclusions of the competitive analysis will remain unchanged.</w:t>
      </w:r>
    </w:p>
    <w:p>
      <w:r>
        <w:t xml:space="preserve">B. THE GEOGRAPHICAL MARKETS  </w:t>
        <w:br/>
        <w:t xml:space="preserve">11. Regarding the geographical market, the competition authorities, in the aforementioned decisions, considered that the market for the retail distribution of IT equipment was at least of national dimension, as distributors operated on a national basis and the products were aimed at national professionals.  </w:t>
        <w:br/>
        <w:t>12. There is no need to challenge this delimitation in the context of the present transaction.</w:t>
      </w:r>
    </w:p>
    <w:p>
      <w:r>
        <w:t xml:space="preserve">III. The competitive analysis  </w:t>
        <w:br/>
        <w:t xml:space="preserve">13. In a French market for the distribution of IT commodities to professionals estimated by the notifying party at 5.6 billion euros for the year 2009, the Computacenter and Top Info groups presented market shares of 6.4% and 2.2%, respectively, resulting in a combined share of 8.6%. With more than fifteen companies presenting an individual annual turnover of over 100 million euros, the market appears to be highly competitive. The position of the parties will notably be challenged by SCC (14.1% of the market), Dell (10.2%), Econom (6.5%), Nextiraone (5.7%), Spie Communications (4.9%), Axians (4.4%).  </w:t>
        <w:br/>
        <w:t xml:space="preserve">14. Regarding a possible segmentation of the market by type of equipment sold, the market shares of the parties would be as follows:  </w:t>
        <w:br/>
        <w:t xml:space="preserve">1 See in particular the decision M. 1179 Tech Data / Computer 2000 of June 3, 1998, of the European Commission, and the decisions of the Competition Authority No. 09-DCC-39 of September 4, 2009, and 10-DCC-127 of September 23, 2010.  </w:t>
        <w:br/>
        <w:t xml:space="preserve">2 See in particular the decision No. 09-DCC-39 of September 4, 2009, mentioned above.  </w:t>
        <w:br/>
        <w:t>3 See in particular the decision No. 09-DCC-39 of September 4, 2009, mentioned above.</w:t>
      </w:r>
    </w:p>
    <w:p>
      <w:r>
        <w:rPr>
          <w:b/>
        </w:rPr>
        <w:t>[Pages 4–4]</w:t>
      </w:r>
    </w:p>
    <w:p>
      <w:r>
        <w:t>- market for microcomputers, laptops, monitors, and servers: respectively 10% and 4.9% for Computacenter and Top Info, resulting in a cumulative share of less than 15%;</w:t>
        <w:br/>
        <w:t>- market for printers: respectively 3.8% and 1% for Computacenter and Top Info, resulting in a cumulative share of 4.8%;</w:t>
        <w:br/>
        <w:t>- market for software and storage systems: respectively 2.5% and 0.2% for Computacenter and Top Info, resulting in a cumulative share of 2.7%.</w:t>
      </w:r>
    </w:p>
    <w:p>
      <w:r>
        <w:t>15. Furthermore, given the modest market share of the parties to the transaction in the retail distribution markets, the transaction is not likely to create or strengthen purchasing power in the upstream market for the supply of computer commodities from manufacturers and wholesalers.</w:t>
      </w:r>
    </w:p>
    <w:p>
      <w:r>
        <w:t>16. Therefore, the transaction is not likely to harm competition in the markets for the distribution of computer equipment.</w:t>
      </w:r>
    </w:p>
    <w:p>
      <w:r>
        <w:t>DECIDES</w:t>
      </w:r>
    </w:p>
    <w:p>
      <w:r>
        <w:t>Sole Article: The transaction notified under number 11-0021 is authorized.</w:t>
      </w:r>
    </w:p>
    <w:p>
      <w:r>
        <w:t xml:space="preserve">The President,  </w:t>
        <w:br/>
        <w:t xml:space="preserve">Bruno Lasserre  </w:t>
        <w:br/>
        <w:t>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