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https://www.autoritedelaconcurrence.fr/fr/decision-de-controle-des-concentrations/relative-la-prise-de-controle-exclusif-du-groupe-u-power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23-DCC-148 of July 28, 2023  </w:t>
        <w:br/>
        <w:t xml:space="preserve">regarding the exclusive control acquisition of the U-Power group by the  </w:t>
        <w:br/>
        <w:t>NB Renaissance group</w:t>
      </w:r>
    </w:p>
    <w:p>
      <w:r>
        <w:t>The Competition Authority,</w:t>
      </w:r>
    </w:p>
    <w:p>
      <w:r>
        <w:t xml:space="preserve">Having regard to the complete notification file sent to the mergers department on July 12, 2023,  </w:t>
        <w:br/>
        <w:t>concerning the exclusive control acquisition of U-Power Group, the parent company of the U-Power group, by Neuberger Berman AIFM, belonging to the NB Renaissance group, formalized by the sale and purchase agreement of May 4, 2023;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Having regard to the additional elements provided by the notifying party during the investigation;</w:t>
      </w:r>
    </w:p>
    <w:p>
      <w:r>
        <w:t>Adopts the following decision:</w:t>
      </w:r>
    </w:p>
    <w:p>
      <w:r>
        <w:t>1. The notified operation consists of the exclusive control acquisition by the NB Renaissance group of the U-Power group, active in the personal protective equipment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23-149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