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https://www.autoritedelaconcurrence.fr/fr/decision-de-controle-des-concentrations/relative-la-prise-de-controle-exclusif-du-groupe-umanis-par</w:t>
      </w:r>
    </w:p>
    <w:p>
      <w:r>
        <w:t>Pages translated : 2</w:t>
      </w:r>
    </w:p>
    <w:p/>
    <w:p>
      <w:r>
        <w:rPr>
          <w:b/>
        </w:rPr>
        <w:t>[Pages 1–2]</w:t>
      </w:r>
    </w:p>
    <w:p>
      <w:r>
        <w:t xml:space="preserve">FRENCH REPUBLIC  </w:t>
        <w:br/>
        <w:t xml:space="preserve">Decision No. 22-DCC-80 of May 13, 2022  </w:t>
        <w:br/>
        <w:t>regarding the exclusive control acquisition of the Umanis group by the CGI group</w:t>
      </w:r>
    </w:p>
    <w:p>
      <w:r>
        <w:t>The Competition Authority,</w:t>
      </w:r>
    </w:p>
    <w:p>
      <w:r>
        <w:t>Having regard to the complete notification file submitted to the mergers department on April 25, 2022, concerning the exclusive control acquisition of Umanis S.A., the parent company of the Umanis group, by the CGI group through CGI France S.A.S.U., formalized notably by an exclusive negotiation protocol and a public tender offer agreement dated March 10, 2022;</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CGI France S.A.S.U., a subsidiary of the CGI group, of Umanis S.A., the parent company of the Umanis group. Both parties are active in the sector of information technology services. The operation constitutes a concentration within the meaning of Article L. 430-1 of the Commercial Code. Given the revenues generated by the concerned companies, the operation does not fall under the jurisdiction of the European Union. However, the control thresholds mentioned in I of Article L. 430-2 of the Commercial Code are exceeded. Therefore, this operation is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22-081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