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https://www.autoritedelaconcurrence.fr/fr/decision-de-controle-des-concentrations/relative-la-prise-de-controle-exclusif-du-groupe-unofi-par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REPUBLIC OF FRANCE  </w:t>
        <w:br/>
        <w:t xml:space="preserve">Decision No. 25-DCC-191 of August 14, 2025  </w:t>
        <w:br/>
        <w:t xml:space="preserve">regarding the exclusive control acquisition of the Unofi group  </w:t>
        <w:br/>
        <w:t>by the Malakoff Humanis group</w:t>
      </w:r>
    </w:p>
    <w:p>
      <w:r>
        <w:t>The Competition Authority,</w:t>
      </w:r>
    </w:p>
    <w:p>
      <w:r>
        <w:t xml:space="preserve">Having regard to the complete notification file submitted to the mergers department on July 30, 2025,  </w:t>
        <w:br/>
        <w:t xml:space="preserve">concerning the exclusive control acquisition of the Unofi group by the Malakoff Humanis group  </w:t>
        <w:br/>
        <w:t xml:space="preserve">formalized by a unilateral purchase promise signed on July 18,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>Having regard to the other documents in the file;</w:t>
      </w:r>
    </w:p>
    <w:p>
      <w:r>
        <w:t>Adopts the following decision:</w:t>
      </w:r>
    </w:p>
    <w:p>
      <w:r>
        <w:t xml:space="preserve">1. The notified operation consists of the acquisition by the Malakoff Humanis group, directly by  </w:t>
        <w:br/>
        <w:t xml:space="preserve">the company Holding Malakoff Humanis and via its affiliate, La France Mutualiste, of approximately 85%  </w:t>
        <w:br/>
        <w:t xml:space="preserve">of the capital and voting rights of SAS Unofi, which heads the Unofi group. The draft shareholders' agreement  </w:t>
        <w:br/>
        <w:t xml:space="preserve">must confer exclusive control to the Malakoff Humanis group, within the meaning of competition law,  </w:t>
        <w:br/>
        <w:t xml:space="preserve">over the Unofi group. The sectors concerned are those of personal insurance. Given the revenues generated  </w:t>
        <w:br/>
        <w:t xml:space="preserve">by the companies involved, the operation does not fall under the jurisdiction of the European Union.  </w:t>
        <w:br/>
        <w:t xml:space="preserve">On the other hand, the control thresholds mentioned in I of Article L. 430-2 of the Commercial Code are exceeded.  </w:t>
        <w:br/>
        <w:t xml:space="preserve">This operation is therefore subject to the provisions of Articles L. 430-3 and following of the  </w:t>
        <w:br/>
        <w:t>Commercial Code relating to economic concentration.</w:t>
      </w:r>
    </w:p>
    <w:p>
      <w:r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25-189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