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https://www.autoritedelaconcurrence.fr/fr/decision-de-controle-des-concentrations/relative-la-prise-de-controle-exclusif-du-groupe-uperio-par</w:t>
      </w:r>
    </w:p>
    <w:p>
      <w:r>
        <w:t>Pages translated : 2</w:t>
      </w:r>
    </w:p>
    <w:p/>
    <w:p>
      <w:r>
        <w:rPr>
          <w:b/>
        </w:rPr>
        <w:t>[Pages 1–2]</w:t>
      </w:r>
    </w:p>
    <w:p>
      <w:r>
        <w:t xml:space="preserve">FRENCH REPUBLIC  </w:t>
        <w:br/>
        <w:t xml:space="preserve">Decision No. 21-DCC-117 of July 2, 2021  </w:t>
        <w:br/>
        <w:t xml:space="preserve">regarding the exclusive control acquisition of the Uperio group by the company  </w:t>
        <w:br/>
        <w:t xml:space="preserve">TowerBrook  </w:t>
        <w:br/>
        <w:t xml:space="preserve">The Competition Authority,  </w:t>
        <w:br/>
        <w:t xml:space="preserve">Having regard to the complete notification file sent to the mergers department on June 16, 2021,  </w:t>
        <w:br/>
        <w:t xml:space="preserve">concerning the exclusive control acquisition by the company TowerBrook of the Uperio group, formalized  </w:t>
        <w:br/>
        <w:t xml:space="preserve">by the transfer agreement dated June 2, 2021;  </w:t>
        <w:br/>
        <w:t xml:space="preserve">Having regard to Book IV of the Commercial Code relating to the freedom of prices and competition, and  </w:t>
        <w:br/>
        <w:t xml:space="preserve">notably its Articles L. 430-1 to L. 430-7;  </w:t>
        <w:br/>
        <w:t xml:space="preserve">Having regard to the elements transmitted by the notifying party during the investigation;  </w:t>
        <w:br/>
        <w:t xml:space="preserve">Adopts the following decision:  </w:t>
        <w:br/>
        <w:t xml:space="preserve">1. The notified operation consists of the exclusive control acquisition by the company TowerBrook of the  </w:t>
        <w:br/>
        <w:t xml:space="preserve">Uperio group, primarily active in the sector of crane rental and sales. It constitutes a concentration operation within the meaning of Article L. 430-1 of the Commercial Code.  </w:t>
        <w:br/>
        <w:t xml:space="preserve">Considering the turnover achieved by the concerned companies, the operation does not fall under the jurisdiction of the European Union. However, the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21-121 is authorized.  </w:t>
        <w:br/>
        <w:t xml:space="preserve">The Chairwoman,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