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https://www.autoritedelaconcurrence.fr/fr/decision-de-controle-des-concentrations/relative-la-prise-de-controle-exclusif-du-groupe-videlio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22-DCC-64 of April 13, 2022  </w:t>
        <w:br/>
        <w:t xml:space="preserve">regarding the exclusive control acquisition of the Videlio group by the company  </w:t>
        <w:br/>
        <w:t xml:space="preserve">Hivest Capital Partners  </w:t>
        <w:br/>
        <w:t xml:space="preserve">The Competition Authority,  </w:t>
        <w:br/>
        <w:t xml:space="preserve">Having regard to the notification file submitted in full to the mergers department on March 16, 2022  </w:t>
        <w:br/>
        <w:t xml:space="preserve">concerning the exclusive control acquisition of Videlio Holding and its subsidiaries by the company  </w:t>
        <w:br/>
        <w:t xml:space="preserve">Hivest Capital Partners, materialized by a purchase promise and a sales promise  </w:t>
        <w:br/>
        <w:t xml:space="preserve">signed on April 16, 2021;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exclusive control acquisition by the company Hivest Capital  </w:t>
        <w:br/>
        <w:t xml:space="preserve">Partners of the Videlio group, active in the sector of providing audiovisual and IT solutions. It constitutes a concentration operation within the meaning of Article L. 430-1 of  </w:t>
        <w:br/>
        <w:t xml:space="preserve">the Commercial Code. Given the turnover achieved by the concerned companies,  </w:t>
        <w:br/>
        <w:t xml:space="preserve">the operation does not fall under the jurisdiction of the European Union. On the other hand, the thresholds of  </w:t>
        <w:br/>
        <w:t xml:space="preserve">control mentioned in I of Article L. 430-2 of the Commercial Code are exceeded. This  </w:t>
        <w:br/>
        <w:t xml:space="preserve">operation is therefore subject to the provisions of Articles L. 430-3 and following of the Commercial  </w:t>
        <w:br/>
        <w:t xml:space="preserve">Code relating to economic concentration.  </w:t>
        <w:br/>
        <w:t xml:space="preserve">2. In light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22-069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