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https://www.autoritedelaconcurrence.fr/fr/decision-de-controle-des-concentrations/relative-la-prise-de-controle-exclusif-du-groupe-visiativ</w:t>
      </w:r>
    </w:p>
    <w:p>
      <w:r>
        <w:t>Pages translated : 2</w:t>
      </w:r>
    </w:p>
    <w:p/>
    <w:p>
      <w:r>
        <w:rPr>
          <w:b/>
        </w:rPr>
        <w:t>[Pages 1–2]</w:t>
      </w:r>
    </w:p>
    <w:p>
      <w:r>
        <w:t xml:space="preserve">FRENCH REPUBLIC  </w:t>
        <w:br/>
        <w:t xml:space="preserve">Decision No. 24-DCC-112 of May 31, 2024  </w:t>
        <w:br/>
        <w:t xml:space="preserve">regarding the exclusive control acquisition of the Visiativ group  </w:t>
        <w:br/>
        <w:t>by the Snef group</w:t>
      </w:r>
    </w:p>
    <w:p>
      <w:r>
        <w:t>The Competition Authority,</w:t>
      </w:r>
    </w:p>
    <w:p>
      <w:r>
        <w:t xml:space="preserve">Having regard to the complete notification file submitted to the mergers department on April 24, 2024,  </w:t>
        <w:br/>
        <w:t xml:space="preserve">concerning the exclusive control acquisition of the company Alliativ, parent company of the Visiativ group,  </w:t>
        <w:br/>
        <w:t>by the company Groupe Snef formalized by a share transfer agreement dated February 27, 2024;</w:t>
      </w:r>
    </w:p>
    <w:p>
      <w:r>
        <w:t xml:space="preserve">Having regard to Book IV of the Commercial Code relating to the freedom of prices and competition,  </w:t>
        <w:br/>
        <w:t>and in particular its Articles L. 430-1 to L. 430-7;</w:t>
      </w:r>
    </w:p>
    <w:p>
      <w:r>
        <w:t>Adopts the following decision:</w:t>
      </w:r>
    </w:p>
    <w:p>
      <w:r>
        <w:t>1. The notified operation consists of the exclusive control acquisition by Groupe Snef, parent company of the Snef group, of the company Alliativ, parent company of the Visiativ group, active in the information technology services sector.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24-067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