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https://www.autoritedelaconcurrence.fr/fr/decision-de-controle-des-concentrations/relative-la-prise-de-controle-exclusif-du-groupe-volta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22-DCC-233 of November 29, 2022  </w:t>
        <w:br/>
        <w:t xml:space="preserve">regarding the exclusive control acquisition of the Volta Croissance group by  </w:t>
        <w:br/>
        <w:t xml:space="preserve">the company Initiative &amp; Finance gestion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10, 2022, concerning the exclusive control acquisition of the company Volta Croissance and its subsidiaries by the company Initiative &amp; Finance gestion, formalized by a share transfer agreement dated October 21, 2022;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company Volta Croissance, the parent company of the Volta Croissance group, and its subsidiaries by the company Initiative &amp; Finance gestion. The Volta Croissance group is active in the electrical engineering, climate engineering, maintenance and repair of buildings as well as finishing work sectors. This acquisition constitutes a concentration operation within the meaning of Article L. 430-1 of the Commercial Code. Given the revenues generated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22-272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