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https://www.autoritedelaconcurrence.fr/fr/decision-de-controle-des-concentrations/relative-la-prise-de-controle-exclusif-du-groupe-vulcain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19-DCC-146 of July 24, 2019  </w:t>
        <w:br/>
        <w:t xml:space="preserve">regarding the exclusive control acquisition of the Vulcain group by  </w:t>
        <w:br/>
        <w:t xml:space="preserve">Equistone Partners Europe  </w:t>
        <w:br/>
        <w:t xml:space="preserve">The Competition Authority,  </w:t>
        <w:br/>
        <w:t xml:space="preserve">Having regard to the complete notification file submitted to the mergers department on June 21, 2019,  </w:t>
        <w:br/>
        <w:t xml:space="preserve">concerning the exclusive control acquisition of the Vulcain group by the company  </w:t>
        <w:br/>
        <w:t xml:space="preserve">Equistone Partners Europe, and formalized by a firm offer letter of sale dated  </w:t>
        <w:br/>
        <w:t xml:space="preserve">June 18,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Equistone Partners  </w:t>
        <w:br/>
        <w:t xml:space="preserve">Europe, of the company Vulcain Expansion and its subsidiaries, which are active in the consulting and  </w:t>
        <w:br/>
        <w:t xml:space="preserve">engineering sector. It constitutes a concentration operation within the meaning of Article  </w:t>
        <w:br/>
        <w:t xml:space="preserve">L. 430-1 of the Commercial Code. Given the turnover achieved by the companies  </w:t>
        <w:br/>
        <w:t xml:space="preserve">concerned, the operation does not fall under the jurisdiction of the European Union. On the other hand,  </w:t>
        <w:br/>
        <w:t xml:space="preserve">the control thresholds mentioned in point I of Article L. 430-2 of the Commercial Code are  </w:t>
        <w:br/>
        <w:t xml:space="preserve">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19-159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