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https://www.autoritedelaconcurrence.fr/fr/decision-de-controle-des-concentrations/relative-la-prise-de-controle-exclusif-du-groupe-wifirst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22-DCC-50 of April 25, 2022  </w:t>
        <w:br/>
        <w:t xml:space="preserve">regarding the exclusive control acquisition of the Wifirst group by the company  </w:t>
        <w:br/>
        <w:t xml:space="preserve">Atalante  </w:t>
        <w:br/>
        <w:t xml:space="preserve">The Competition Authority,  </w:t>
        <w:br/>
        <w:t xml:space="preserve">Having regard to the complete notification file submitted to the mergers department on March 31, 2022,  </w:t>
        <w:br/>
        <w:t xml:space="preserve">concerning the exclusive control acquisition of the Wifirst group by the company Atalante, formalized by  </w:t>
        <w:br/>
        <w:t xml:space="preserve">a share transfer agreement dated March 17, 2022;  </w:t>
        <w:br/>
        <w:t xml:space="preserve">Having regard to Book IV of the Commercial Code relating to the freedom of prices and competition, and  </w:t>
        <w:br/>
        <w:t xml:space="preserve">in particular its Articles L. 430-1 to L. 430-7;  </w:t>
        <w:br/>
        <w:t xml:space="preserve">Adopts the following decision:  </w:t>
        <w:br/>
        <w:t xml:space="preserve">1. The notified operation consists of the exclusive control acquisition of the company Tiger NewCo, the  </w:t>
        <w:br/>
        <w:t xml:space="preserve">parent company of the Wifirst group, which is active in the electronic telecommunications sector for  </w:t>
        <w:br/>
        <w:t xml:space="preserve">businesses and administrations, by the company Atalante. It constitutes a concentration operation within the meaning of Article L. 430-1 of the Commercial Code. Given the  </w:t>
        <w:br/>
        <w:t xml:space="preserve">turnover achieved by the concerned companies, the operation does not fall under the  </w:t>
        <w:br/>
        <w:t xml:space="preserve">jurisdiction of the European Union. On the other hand, the control thresholds mentioned in I of  </w:t>
        <w:br/>
        <w:t xml:space="preserve">Article L. 430-2 of the Commercial Code are exceeded. The present operation is therefore subject  </w:t>
        <w:br/>
        <w:t xml:space="preserve">to the provisions of Articles L. 430-3 and following of the Commercial Code relating to  </w:t>
        <w:br/>
        <w:t xml:space="preserve">economic concentration.  </w:t>
        <w:br/>
        <w:t xml:space="preserve">2. In light of the elements of the file, the operation is not likely to harm competition  </w:t>
        <w:br/>
        <w:t>in the relevant markets.</w:t>
      </w:r>
    </w:p>
    <w:p>
      <w:r>
        <w:t xml:space="preserve">DECIDES  </w:t>
        <w:br/>
        <w:t xml:space="preserve">Sole Article: The operation notified under number 22-043 is authorized.  </w:t>
        <w:br/>
        <w:t xml:space="preserve">The President,  </w:t>
        <w:br/>
        <w:t xml:space="preserve">Benoît Cœuré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