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https://www.autoritedelaconcurrence.fr/fr/decision-de-controle-des-concentrations/relative-la-prise-de-controle-exclusif-du-groupe-zeturf-par</w:t>
      </w:r>
    </w:p>
    <w:p>
      <w:r>
        <w:t>Pages translated : 23</w:t>
      </w:r>
    </w:p>
    <w:p/>
    <w:p>
      <w:r>
        <w:rPr>
          <w:b/>
        </w:rPr>
        <w:t>[Pages 1–3]</w:t>
      </w:r>
    </w:p>
    <w:p>
      <w:r>
        <w:t>FRENCH REPUBLIC</w:t>
        <w:br/>
        <w:t>Decision No. 23-DCC-191 of September 15, 2023</w:t>
        <w:br/>
        <w:t>regarding the exclusive control of the ZEturf group by the</w:t>
        <w:br/>
        <w:t>company La Française des jeux</w:t>
        <w:br/>
        <w:t>The Competition Authority,</w:t>
        <w:br/>
        <w:t>Having regard to the notification file submitted in full to the merger service on June 6, 2023,</w:t>
        <w:br/>
        <w:t>regarding the acquisition of control of RBP Luxembourg, the parent company of the ZEturf group,</w:t>
        <w:br/>
        <w:t>by La Française des jeux, formalized by a share purchase agreement dated November 17, 2022;</w:t>
        <w:br/>
        <w:t>Having regard to Book IV of the Commercial Code relating to the freedom of prices and competition, and</w:t>
        <w:br/>
        <w:t>notably its Articles L. 430-1 to L. 430-7;</w:t>
        <w:br/>
        <w:t>Having regard to the additional elements submitted by the notifying party during the investigation;</w:t>
        <w:br/>
        <w:t>Having regard to the commitments filed on July 5, 2023, and last modified on July 28, 2023</w:t>
        <w:br/>
        <w:t>by the notifying party;</w:t>
        <w:br/>
        <w:t>Having regard to the other documents in the file;</w:t>
        <w:br/>
        <w:t>Adopts the following decision:</w:t>
      </w:r>
    </w:p>
    <w:p>
      <w:r>
        <w:t>SUMMARY</w:t>
        <w:br/>
        <w:t>I. THE COMPANIES CONCERNED AND THE OPERATION .............. 4</w:t>
        <w:br/>
        <w:t>II. DELIMITATION OF THE RELEVANT MARKETS ........................... 5</w:t>
        <w:br/>
        <w:t>A. THE PRODUCT MARKETS ..................................................................................5</w:t>
        <w:br/>
        <w:t>1. MARKET SEGMENTATION BY TYPE OF GAMBLING AND GAMES OF CHANCE</w:t>
        <w:br/>
        <w:t>5</w:t>
        <w:br/>
        <w:t>2. MARKET SEGMENTATION BY DISTRIBUTION CHANNEL OF GAMBLING AND</w:t>
        <w:br/>
        <w:t>GAMES OF CHANCE ..........................................................................................6</w:t>
        <w:br/>
        <w:t>B. THE GEOGRAPHICAL MARKETS .........................................................................7</w:t>
        <w:br/>
        <w:t>C. SYNTHESIS OF THE ACTIVITIES OF THE PARTIES AND MARKET SHARES OF</w:t>
        <w:br/>
        <w:t>THE MAIN OPERATORS .....................................................................................8</w:t>
        <w:br/>
        <w:t>III. COMPETITIVE ANALYSIS .................................................... 10</w:t>
        <w:br/>
        <w:t>A. ANALYSIS OF HORIZONTAL EFFECTS .............................................................10</w:t>
        <w:br/>
        <w:t>B. ANALYSIS OF CONGLOMERATE EFFECTS ......................................................10</w:t>
        <w:br/>
        <w:t>a) Analysis of the risk of tying related to the implementation of links</w:t>
        <w:br/>
        <w:t>between the offer of games and bets under exclusive rights and the offer of</w:t>
        <w:br/>
        <w:t>online sports and horse betting .................................................................. 12</w:t>
        <w:br/>
        <w:t>On the ability of the new entity to tie its offers of games under exclusive rights</w:t>
        <w:br/>
        <w:t>and its offers of competitive games ......................................................................12</w:t>
        <w:br/>
        <w:t>On the incentive of the new entity to tie its offers of games under exclusive rights</w:t>
        <w:br/>
        <w:t>and its offers of competitive games ......................................................................13</w:t>
        <w:br/>
        <w:t>On the expected effects of such a strategy .........................................................14</w:t>
        <w:br/>
        <w:t>b) Analysis of the risk of tying related to access to the common pool</w:t>
        <w:br/>
        <w:t>of stakes from horse betting ................................................................. 15</w:t>
        <w:br/>
        <w:t>The characteristics of horse betting ..................................................................15</w:t>
        <w:br/>
        <w:t>The identified risk of tying an input .................................................................16</w:t>
        <w:br/>
        <w:t>Conclusion ............................................................................................................17</w:t>
        <w:br/>
        <w:t>IV. THE COMMITMENTS ......................................................................... 17</w:t>
        <w:br/>
        <w:t>A. REMINDER OF THE PRINCIPLES ..........................................................................................17</w:t>
        <w:br/>
        <w:t>B. THE PROPOSED COMMITMENTS AND THEIR ASSESSMENT .........................18</w:t>
        <w:br/>
        <w:t>1. COMMITMENTS RELATING TO THE ABSENCE OF OPERATION OF ACTIVITIES AT</w:t>
        <w:br/>
        <w:t>POINTS OF SALE AND ONLINE LOTTERY ACTIVITIES FOR THE DEVELOPMENT OF</w:t>
        <w:br/>
        <w:t>COMPETITIVE GAMES (COMMITMENTS NO. 2, 3, AND 5) AND TO THE</w:t>
        <w:br/>
        <w:t>SUBSIDIARIZATION OF COMPETITIVE GAMING ACTIVITIES (COMMITMENT</w:t>
        <w:br/>
        <w:t>NO. 4) ..........................................................................................................................18</w:t>
        <w:br/>
        <w:t>a) The proposed commitments ...................................................................... 18</w:t>
        <w:br/>
        <w:t>The commitments relating to the absence of operation of activities at points of</w:t>
        <w:br/>
        <w:t>sale for the development of competitive games (commitment no. 2) ........18</w:t>
        <w:br/>
        <w:t>The commitments relating to the absence of operation of online lottery</w:t>
        <w:br/>
        <w:t>activities for the development of competitive games (commitment no. 3) ........18</w:t>
        <w:br/>
        <w:t>2</w:t>
      </w:r>
    </w:p>
    <w:p>
      <w:r>
        <w:t>The commitment relating to the subsidiarization of competitive gaming</w:t>
        <w:br/>
        <w:t>activities (commitment no. 4) ................................................................................................20</w:t>
        <w:br/>
        <w:t>The commitment to train sales teams (commitment no. 5) ......20</w:t>
        <w:br/>
        <w:t>b) Assessment of the proposed commitments ........................................... 20</w:t>
        <w:br/>
        <w:t>2. COMMITMENT RELATING TO ACCESS TO THE SHARED AGREEMENT</w:t>
        <w:br/>
        <w:t>(COMMITMENT NO. 1) ................................................................................................21</w:t>
        <w:br/>
        <w:t>a) The proposed commitment ............................................................................ 21</w:t>
        <w:br/>
        <w:t>b) Assessment of the proposed commitment ................................................. 22</w:t>
        <w:br/>
        <w:t>DECISION ..................................................................................................... 23</w:t>
        <w:br/>
        <w:t>3</w:t>
      </w:r>
    </w:p>
    <w:p>
      <w:r>
        <w:rPr>
          <w:b/>
        </w:rPr>
        <w:t>[Pages 4–6]</w:t>
      </w:r>
    </w:p>
    <w:p>
      <w:r>
        <w:t>I. The Companies Concerned and the Operation</w:t>
        <w:br/>
        <w:t>1. La Française des jeux is a public limited company whose capital is held 20% by the State, 15% by veterans' associations, 5% by Predica, 3% by Soficoma, and 4% by employees, with the remainder of the capital primarily held by individual shareholders (52%). It forms, along with its various subsidiaries, the FDJ group (hereinafter "FDJ"). FDJ is primarily active in the organization and operation of lottery games and sports betting in France. In this regard, on one hand, FDJ benefits from exclusive rights1 for the organization and management of lottery games in France (at points of sale and online) and sports betting at points of sale. On the other hand, FDJ engages in activities open to competition, online sports betting and, since November 2022, online poker, for which it holds licenses from the National Gaming Authority (hereinafter "ANJ"). Furthermore, FDJ offers services at points of sale as well as to other gambling operators internationally.</w:t>
        <w:br/>
        <w:t>2. RBP Luxembourg is a public limited company under Luxembourg law at the head of the ZEturf group (hereinafter "ZEturf"), comprising eight subsidiaries2 involved in the operation, including ZEturf France Limited, which holds two licenses from the ANJ, one for its online horse racing betting activity marketed under the ZEturf brand, and the other for its online sports betting activity marketed under the ZEbet brand. This subsidiary accepts bets only in France via the websites "zeturf.fr" and "zebet.fr". Among the other subsidiaries, ZEtote System manages the pools of horse racing bets collected by ZEturf and other online horse racing betting operators.</w:t>
        <w:br/>
        <w:t>3. The operation, materialized by a share purchase agreement dated November 17, 2022, consists of the acquisition by FDJ of 76.1% of the capital and voting rights of RBP Luxembourg. Following the operation, RBP Luxembourg will be exclusively controlled by FDJ. Since the operation results in a change of control, it constitutes a concentration within the meaning of Article L. 430-1 of the Commercial Code.</w:t>
        <w:br/>
        <w:t>4. The companies concerned together generate a total worldwide turnover of over 150 million euros (FDJ: 2,255.7 million euros for the fiscal year ending December 31, 2021; ZEturf: [≤ 150 million] euros for the fiscal year ending December 31, 2021). Each of these companies generates, in France, a turnover exceeding 50 million euros (FDJ: [≥ 50 million] euros for the fiscal year ending December 31, 2021; ZEturf: [≥ 50 million] euros for the fiscal year ending December 31, 2021).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w:t>
        <w:br/>
        <w:t>1 Rights granted for a duration of 25 years from May 22, 2019. Article 15 of Ordinance No. 2019-1015 of October 2, 2019 reforming the regulation of gambling.</w:t>
        <w:br/>
        <w:t>2 Namely the following companies: ZEtote System, ZEturf GBL, MasseCom SAS, ZEturf France, Turf Belgium SA, ZEbetting &amp; Gaming Espana SA, ZEebetting &amp; Gaming Netherland NV, and Turf Data Selection SARL.</w:t>
      </w:r>
    </w:p>
    <w:p>
      <w:r>
        <w:t>II. Definition of Relevant Markets</w:t>
        <w:br/>
        <w:t>5. The acquirer and the target are active in the gambling and betting markets. FDJ offers lottery games (at points of sale and online), sports betting (at points of sale and online), and online poker, while ZEturf offers online horse racing betting and online sports betting.</w:t>
        <w:br/>
        <w:t>A. PRODUCT MARKETS</w:t>
        <w:br/>
        <w:t>6. The Competition Authority has had the opportunity to delineate the markets in which the acquirer and the target are active. Within the gambling and betting sector, two main distinctions are made.</w:t>
        <w:br/>
        <w:t>1. MARKET SEGMENTATION ACCORDING TO THE OBJECT OF GAMBLING</w:t>
        <w:br/>
        <w:t>7. In its decision-making practice, the Authority distinguishes between games of chance and games such as sports betting, horse racing betting, or poker3.</w:t>
        <w:br/>
        <w:t>8. Games of chance do not require any specific skill from players. The chances of winning for these players rely "exclusively on the occurrence of events determined solely by mathematical probabilities" and are therefore identical for all players4.</w:t>
        <w:br/>
        <w:t>9. Horse racing betting, sports betting, and poker, on the other hand, each "call for skills or knowledge that are specific to each type of game"5. The Authority has also concluded that "horse racing betting and sports betting are not substitutable for circle games like poker, nor are they substitutable among themselves"6.</w:t>
        <w:br/>
        <w:t>10. Regarding poker, the Authority emphasized that "the player is the main actor in a poker game, unlike the bettor who is merely a passive spectator of the sporting or horse racing event on which their bet is placed. Thus, the expertise of a poker player is not comparable to that of a bettor: in the former case, it is an active expertise that will influence the outcome of the hand played, based on real-time information gathering and the ability to adapt accordingly (probability calculation, interpretation of the actions of other players, strategy choice...), while in the latter, it is a passive expertise, essentially based on the collection and exploitation of past information up to the point of placing the bet. (...) Chance therefore plays a marginal role in poker activity"7.</w:t>
        <w:br/>
        <w:t>11. Regarding sports betting and horse racing betting, the Authority8 holds that the information available to a player about a given sporting or horse racing event will not be valuable for another type of event, and that a player will place a bet if they believe they have privileged information, implying in both cases an interest on their part in the type of event concerned. However, sports betting and horse racing betting are not substitutable for each other in that horse racing bets can only be placed on the outcomes of horse races, while the supports and possibilities for sports betting are much broader and more diverse. Furthermore, there are differences in the sociological profiles of players for each type of bet, and finally, online horse racing betting operators can legally offer players only mutual bets9, while sports betting operators can also offer fixed-odds bets.</w:t>
        <w:br/>
        <w:t>12. The notifying party does not contest the market definitions as retained by national decision-making practice. There is no reason to challenge these definitions in the context of the present analysis.</w:t>
        <w:br/>
        <w:t>2. MARKET SEGMENTATION ACCORDING TO THE DISTRIBUTION CHANNEL OF GAMBLING</w:t>
        <w:br/>
        <w:t>13. The French legislator initially chose to establish a principle of prohibition of gambling, to segment the offer by type of game, and to entrust a single operator (or several in the case of casinos) with the organization of these different games: FDJ for lottery games as well as for sports betting, PMU for horse racing betting, and certain casinos for casino games (notably circle games, such as poker).</w:t>
        <w:br/>
        <w:t>14. In 2010, online sports betting, online horse racing betting, and online circle games were, by exception, opened to competition. Since the law of May 12, 2010, relating to the opening to competition and regulation of the online gambling sector, the exercise of this regulated activity requires a license from the regulator, now the National Gaming Authority (ANJ).</w:t>
        <w:br/>
        <w:t>15. This regulatory choice has notably led the Authority to distinguish between online gambling and betting markets and points of sale gambling and betting markets.</w:t>
        <w:br/>
        <w:t>16. Firstly, online sports and horse racing betting fall under the aforementioned law of May 12, 2010, and the decrees and orders issued in its application, while sports and horse racing betting at points of sale (or "brick-and-mortar") fall under exclusive rights and thus a legal monopoly. In this regard, in its decision No. 14-D-04 of February 25, 2014, relating to practices implemented in the online horse racing betting sector by PMU, the Authority noted...</w:t>
      </w:r>
    </w:p>
    <w:p>
      <w:r>
        <w:rPr>
          <w:b/>
        </w:rPr>
        <w:t>[Pages 7–9]</w:t>
      </w:r>
    </w:p>
    <w:p>
      <w:r>
        <w:t xml:space="preserve">practices implemented in the online horse racing betting sector, the Authority concluded that this major difference fully justifies a segmentation of the market.  </w:t>
        <w:br/>
        <w:t xml:space="preserve">17. Furthermore, the proportion of amounts won by players relative to the total of their bets or expenditures, referred to as the "return to player rate" hereinafter "RTP," is not the same depending on whether horse racing or sports bets are collected online or at points of sale. FDJ must therefore comply with a maximum average actual RTP of 76.5% for sports bets at points of sale over a year10, whereas online betting operators (including FDJ) can offer a maximum average actual RTP of 85%11.  </w:t>
        <w:br/>
        <w:t xml:space="preserve">18. Similarly, sports and horse racing bets at points of sale are characterized by fewer formalities compared to online sports and horse racing bets. The online player must necessarily provide the operator with several elements regarding their identity (name, first name, title, address, etc.) whereas the player at points of sale can place their bet immediately without any particular formalities.  </w:t>
        <w:br/>
        <w:t xml:space="preserve">19. Secondly, online sports and horse racing bets also present very different characteristics from sports and horse racing bets at points of sale, particularly regarding their accessibility, flexibility, presentation, navigation, interactivity, diversity of betting options, and payment methods12.  </w:t>
        <w:br/>
        <w:t xml:space="preserve">20. Regarding poker, the Authority also makes a distinction between online activity and physical "circle" activity. It considers that circle poker requires specific skills from players compared to online poker, given the importance of observing other players and controlling one's own physical behaviors.  </w:t>
        <w:br/>
        <w:t xml:space="preserve">21. Circle poker is also characterized by specific constraints such as the rarity of circles. Online poker, for its part, allows simultaneous participation in multiple poker games, due to the gathering of several tables on the same screen.  </w:t>
        <w:br/>
        <w:t xml:space="preserve">22. The pricing and betting conditions are also different depending on whether a player participates in a game online or in a circle13.  </w:t>
        <w:br/>
        <w:t xml:space="preserve">B. GEOGRAPHICAL MARKETS  </w:t>
        <w:br/>
        <w:t xml:space="preserve">23. The decisional practice considers that the markets for games and betting are of national dimension due to the existence of national exclusive rights or licenses granted by a national regulatory authority, significant differences in legislation between countries, and language barriers14.  </w:t>
        <w:br/>
        <w:t xml:space="preserve">24. The notifying party did not contest the definitions of product markets as well as their geographical delimitations, as retained by the decisional practice. There is no reason to challenge these definitions within the framework of the present analysis.  </w:t>
        <w:br/>
        <w:t xml:space="preserve">C. SYNTHESIS OF THE ACTIVITIES OF THE PARTIES AND MARKET SHARES OF THE MAIN OPERATORS  </w:t>
        <w:br/>
        <w:t xml:space="preserve">25. The table below presents a synthesis of the gaming and betting activities of FDJ and ZEturf before the operation.  </w:t>
        <w:br/>
        <w:t xml:space="preserve">FDJ ZEturf  </w:t>
        <w:br/>
        <w:t xml:space="preserve">online horse racing betting  </w:t>
        <w:br/>
        <w:t xml:space="preserve">at points of sale  </w:t>
        <w:br/>
        <w:t xml:space="preserve">online sports betting  </w:t>
        <w:br/>
        <w:t xml:space="preserve">at points of sale monopoly  </w:t>
        <w:br/>
        <w:t xml:space="preserve">lottery15 online monopoly  </w:t>
        <w:br/>
        <w:t xml:space="preserve">at points of sale monopoly  </w:t>
        <w:br/>
        <w:t xml:space="preserve">online poker  </w:t>
        <w:br/>
        <w:t xml:space="preserve">in circle  </w:t>
        <w:br/>
        <w:t xml:space="preserve">26. FDJ is in a monopoly situation for its online and points of sale lottery activity as well as for its sports betting activity at points of sale.  </w:t>
        <w:br/>
        <w:t xml:space="preserve">27. Regarding horse racing and sports betting, which are open to competition, the market shares of the parties and competitors are presented in the tables below16.  </w:t>
        <w:br/>
        <w:t xml:space="preserve">15 The lottery games offered by FDJ include both draw games (Euromillions, Keno, etc.) and scratch games (Illiko, etc.).  </w:t>
        <w:br/>
        <w:t>16 The target is not present in the online poker market, and FDJ only started this activity at the end of 2022 and holds a market share of less than 1%. Thus, in the developments that follow, "competitive games" refer only to online horse racing bets and online sports bets.</w:t>
      </w:r>
    </w:p>
    <w:p>
      <w:r>
        <w:t xml:space="preserve">Online Horse Racing Betting Market: Estimated Market Shares (2022)  </w:t>
        <w:br/>
        <w:t xml:space="preserve">FDJ 0%  </w:t>
        <w:br/>
        <w:t xml:space="preserve">ZEturf [20-30]%  </w:t>
        <w:br/>
        <w:t xml:space="preserve">Combined [20-30]%  </w:t>
        <w:br/>
        <w:t xml:space="preserve">PMU [70-80]%  </w:t>
        <w:br/>
        <w:t xml:space="preserve">Unibet [0-4]%  </w:t>
        <w:br/>
        <w:t xml:space="preserve">Betclic [0-4]%  </w:t>
        <w:br/>
        <w:t xml:space="preserve">Genybet [0-4]%  </w:t>
        <w:br/>
        <w:t xml:space="preserve">Total 100%  </w:t>
        <w:br/>
        <w:t xml:space="preserve">Estimates by the notifying party in percentage of stakes  </w:t>
        <w:br/>
        <w:t xml:space="preserve">28. In the online horse racing betting market, the new entity will hold a market share of [20-30]%, far behind PMU. Other competitors will each hold less than 4% market share.  </w:t>
        <w:br/>
        <w:t xml:space="preserve">Online Sports Betting Market: Estimated Market Shares (2022)  </w:t>
        <w:br/>
        <w:t xml:space="preserve">FDJ [5-10]%  </w:t>
        <w:br/>
        <w:t xml:space="preserve">ZEturf [0-5]%  </w:t>
        <w:br/>
        <w:t xml:space="preserve">Combined [10-20]%  </w:t>
        <w:br/>
        <w:t xml:space="preserve">Winamax [30-40]%  </w:t>
        <w:br/>
        <w:t xml:space="preserve">Betclic [30-40]%  </w:t>
        <w:br/>
        <w:t xml:space="preserve">Unibet [10-20]%  </w:t>
        <w:br/>
        <w:t xml:space="preserve">PMU [0-5]%  </w:t>
        <w:br/>
        <w:t xml:space="preserve">Others [5-10]%  </w:t>
        <w:br/>
        <w:t xml:space="preserve">Total 100%  </w:t>
        <w:br/>
        <w:t xml:space="preserve">Estimates by the notifying party in percentage of stakes  </w:t>
        <w:br/>
        <w:t>29. In the online sports betting market, the new entity will hold a combined market share of [10-20]% and will be in fourth position behind Winamax ([30-40]%), Betclic ([30-40]%), and Unibet ([10-20]%).</w:t>
      </w:r>
    </w:p>
    <w:p>
      <w:r>
        <w:rPr>
          <w:b/>
        </w:rPr>
        <w:t>[Pages 10–12]</w:t>
      </w:r>
    </w:p>
    <w:p>
      <w:r>
        <w:t>III. Competitive Analysis</w:t>
        <w:br/>
        <w:t>30. Following the operation, FDJ, which was already active in the lottery, sports betting, and poker markets, will also become active in the horse racing betting markets.</w:t>
        <w:br/>
        <w:t>A. ANALYSIS OF HORIZONTAL EFFECTS</w:t>
        <w:br/>
        <w:t>31. The activities of the parties overlap only in the online sports betting market. Given the combined market shares of the parties, which amount to [10-20]%, the operation is not likely to restrict competition in this market through horizontal effects.</w:t>
        <w:br/>
        <w:t>B. ANALYSIS OF CONGLOMERATE EFFECTS</w:t>
        <w:br/>
        <w:t>32. A concentration produces uncoordinated conglomerate effects when it allows the new entity to restrict or prevent access to one or more markets. Indeed, a company that benefits from or strengthens a strong position in one market may be able to lock access to one or more related markets by leveraging, that is to say, in particular, the ability for a company to increase sales of a product or service in a market by exploiting the strong market position of another product or service to which the first product or service is linked, related, or bundled.</w:t>
        <w:br/>
        <w:t>33. The connection between the relevant markets may arise from the belonging of the products or services to the same range, the existence of brands generating a certain degree of differentiation between the products of the parties to the operation, or when a sufficient share of buyers is likely to be interested in the simultaneous purchase of the products in question.</w:t>
        <w:br/>
        <w:t>34. In this case, the new operator will primarily be active in the lottery, sports betting, and horse racing markets. While these games and bets are distinct, they present a connection in that they all belong to the range of games and bets and that players can participate in several types of games or bets, whether open to competition or operated in a monopoly situation, whether offered at points of sale or online. [Confidential]:</w:t>
        <w:br/>
        <w:t>- [10-20]% of lottery players (at points of sale and online, FDJ monopoly) also place horse racing bets (at points of sale and online);</w:t>
        <w:br/>
        <w:t>- [0-5]% of lottery players (at points of sale and online, FDJ monopoly) also place horse racing bets online;</w:t>
        <w:br/>
        <w:t>- [20-30]% of sports betting players at points of sale (FDJ monopoly) also place horse racing bets;</w:t>
        <w:br/>
        <w:t>- [10-20]% of sports betting players at points of sale (FDJ monopoly) also place horse racing bets online;</w:t>
        <w:br/>
        <w:t>- [80-90]% of horse racing players also play lottery games (at points of sale and online, FDJ monopoly);</w:t>
        <w:br/>
        <w:t>- [80-90]% of online horse racing players also play lottery games (FDJ monopoly);</w:t>
        <w:br/>
        <w:t>- [20-30]% of online sports betting players (any operator) also place online horse racing bets.</w:t>
        <w:br/>
        <w:t>35. Regarding the number of lottery players who also place online horse racing bets, an operator present in the online horse racing and sports betting markets provided the following details during its hearing: "There are 6 million online lottery players, and with a cross-sell between 5 and 10% of lottery activity to horse racing activity, this gives a possible recruitment for the new entity of 250,000 (sic) new players in horse racing in a low hypothesis. This is a considerable figure, with the online horse racing market being 625,000 active players on an annual basis (ANJ data), a number that is stable." Therefore, the potential transfer of lottery players to online horse racing is significant.</w:t>
        <w:br/>
        <w:t>36. For its part, PMU estimates that about [20-30]% of its active players are involved in both point-of-sale horse racing and online horse racing, and about [10-20]% of its active players are involved in both point-of-sale horse racing and point-of-sale sports betting. Current operators present in multiple online gaming or betting activities (mainly horse racing and sports) estimate that between 10 and 30% of their active players are involved in both horse racing and online sports betting.</w:t>
        <w:br/>
        <w:t>37. Furthermore, it emerges from the hearings of market operators that several of them, initially active in one sector of gaming and betting, have developed their offerings towards other types of gaming and betting, noting that this diversity allowed them to attract more players.</w:t>
        <w:br/>
        <w:t>38. Additionally, it is observed that FDJ is developing omnichannel capabilities in the markets in which it is present, on one hand, for its lottery games by allowing its customers to play interchangeably at points of sale or online, and on the other hand, for its sports betting, by digitalizing this activity at points of sale. A player accustomed to playing at points of sale is thus encouraged to turn to online games and vice versa.</w:t>
        <w:br/>
        <w:t>39. Such a conglomerate strategy could consist of establishing links between the monopoly gaming offers provided by FDJ and those offered by the target (a) which would involve:</w:t>
        <w:br/>
        <w:t>- promoting online horse racing and sports betting to players of monopoly games;</w:t>
        <w:br/>
        <w:t>- implementing commercial offers encouraging players of monopoly games to play online sports and horse racing bets;</w:t>
        <w:br/>
        <w:t>- maintaining confusion between the customer journeys of players of monopoly games and players of online horse racing and sports betting;</w:t>
        <w:br/>
        <w:t>- using a single customer account for all games offered.</w:t>
        <w:br/>
        <w:t>40. Such a strategy could also consist, particularly concerning horse racing bets, of ceasing or making it more difficult for competitors to access the common pool managed by the new entity, or of removing the horse racing bets collected by the new entity from this common pool (b).</w:t>
        <w:br/>
        <w:t>a) Analysis of the Risk of Lock-In Related to the Implementation of Links Between the Offer of Games and Bets Under Exclusive Rights and the Offer of Online Sports and Horse Racing Bets</w:t>
        <w:br/>
        <w:t>41. The notifying party argues that FDJ would have neither the incentive nor the ability to lock the online horse racing and sports betting markets using the leverage of its exclusive rights in the lottery and point-of-sale sports betting markets. It particularly emphasizes that it would be incapable of doing so because the customers of the different games at points of sale and online in which the parties are present would not belong to a large common customer base, as the combined market shares of FDJ and the target in online sports betting (amounting to [10-20]%) would not be likely to pose a risk of conglomerate effect and because the new operator would face intense competitive pressure from its main competitors in the online sports betting market.</w:t>
        <w:br/>
        <w:t>42. When analyzing conglomerate effects, the Authority examines whether the new entity would, after the concentration, have the ability to implement this conglomerate strategy, whether it would be incentivized to do so, and whether such a strategy would have a significant effect on the markets concerned. In practice, these three conditions are closely linked.</w:t>
        <w:br/>
        <w:t>On the Ability of the New Entity to Link Its Exclusive Rights Gaming Offers and Its Competitive Gaming Offers</w:t>
        <w:br/>
        <w:t>43. In this case, first, the new entity will have FDJ's exclusive rights in the online and point-of-sale lottery markets and also in point-of-sale sports betting. Consequently, it will hold a monopoly power in these markets.</w:t>
        <w:br/>
        <w:t>44. Furthermore, the new entity will hold a market share of nearly [20-30]% in online horse racing, ranking second after PMU. Other competing operators each hold less than 4% market share.</w:t>
        <w:br/>
        <w:t>45. While the new entity will hold combined market shares of around [10-20]% in online sports betting, it will be in a monopoly position in the point-of-sale sports betting market. However, FDJ has established significant permeability between its online sports betting activity and its point-of-sale activity (see below), and the combined market shares of FDJ in online and point-of-sale sports betting amount to [40-50]%.</w:t>
        <w:br/>
        <w:t>46. Secondly, the new entity will be the only operator present in all gaming and betting activities authorized by law (lottery, sports betting, horse racing, and poker), except for casino games, while benefiting from a monopoly in three distinct markets granted by the State for a duration of 25 years until 2044. No other competitor present in the market is able to offer such a range of games and bets, particularly due to these legal monopolies. The new entity will thus have a competitive advantage that cannot be replicated by its competitors. All competing operators interviewed during the investigation indicated that the more a operator offers diversified gambling and gaming options, the more it can mechanically attract new players. In this regard, a competing operator explained that while online horse racing betting constituted only a marginal part of its revenue, it remained important because if it no longer offered this activity, it would mechanically lose players in sports betting and poker.</w:t>
        <w:br/>
        <w:t>47. Prior to the operation, FDJ is already the leading operator of gambling and gaming in France with, in 2022, a turnover of 2.5 billion euros, 20.6...</w:t>
      </w:r>
    </w:p>
    <w:p>
      <w:r>
        <w:rPr>
          <w:b/>
        </w:rPr>
        <w:t>[Pages 13–15]</w:t>
      </w:r>
    </w:p>
    <w:p>
      <w:r>
        <w:t>est importante, plus les gains potentiels sont élevés pour les parieurs.</w:t>
      </w:r>
    </w:p>
    <w:p>
      <w:r>
        <w:t>63. Dans le cadre des paris hippiques, le pari mutuel est la forme de pari prédominante. Les parieurs misent sur les chevaux participants à une course, et les gains sont déterminés en fonction des mises totales et des cotes des chevaux. Cela signifie que les parieurs ne peuvent pas connaître à l'avance le montant de leurs gains, car il dépendra du montant total des mises et du nombre de gagnants.</w:t>
      </w:r>
    </w:p>
    <w:p>
      <w:r>
        <w:t>64. La masse commune des mises est donc cruciale pour les paris hippiques, car elle influence directement les cotes et les gains potentiels. Un opérateur qui détient une part significative de cette masse commune peut avoir un avantage concurrentiel important, car il peut offrir des cotes plus attractives et, par conséquent, attirer davantage de parieurs.</w:t>
      </w:r>
    </w:p>
    <w:p>
      <w:r>
        <w:t>65. En conséquence, si la nouvelle entité parvient à établir des liens entre ses offres de jeux sous droits exclusifs et ses offres de jeux concurrentiels, elle pourrait potentiellement contrôler une part importante de la masse commune des mises, ce qui lui permettrait de manipuler les cotes et d'influencer le comportement des parieurs.</w:t>
      </w:r>
    </w:p>
    <w:p>
      <w:r>
        <w:t>66. Cela soulève des préoccupations quant à la concurrence sur le marché des paris hippiques, car un tel contrôle pourrait nuire aux autres opérateurs qui ne disposent pas des mêmes ressources ou de la même capacité à attirer des parieurs.</w:t>
      </w:r>
    </w:p>
    <w:p>
      <w:r>
        <w:t>67. En conclusion, la stratégie de la nouvelle entité visant à lier ses offres de jeux pourrait avoir des effets congloméraux significatifs sur le marché des paris hippiques, en réduisant la concurrence et en augmentant son pouvoir de marché.</w:t>
      </w:r>
    </w:p>
    <w:p>
      <w:r>
        <w:rPr>
          <w:b/>
        </w:rPr>
        <w:t>[Pages 16–18]</w:t>
      </w:r>
    </w:p>
    <w:p>
      <w:r>
        <w:t>is greater, the amounts that can be redistributed to the winners in the form of winnings can potentially be high.</w:t>
      </w:r>
    </w:p>
    <w:p>
      <w:r>
        <w:t>63. Article 11 of the law of May 12, 2010, imposes "the organization and acceptance of online horse racing bets in the mutual form registered prior to the start of the event that is the subject of it." Thus, the law mandates mutual betting for online horse racing.</w:t>
      </w:r>
    </w:p>
    <w:p>
      <w:r>
        <w:t>64. In this case, ZEtote System, a subsidiary of ZEturf, enters into "common pool betting" contracts with third-party online horse racing betting companies, primarily [confidential]. These contracts, which concern only horse racing bets, allow these third parties to entrust the management of a pool of bets collected on their sites to ZEtote System, in exchange for the payment of a commission. The management of this pool of bets is ensured by [confidential]. This pooling of stakes allows for potentially higher winnings to be offered to the bettors of each of the operators.</w:t>
      </w:r>
    </w:p>
    <w:p>
      <w:r>
        <w:t>65. The share of each operator in the total pooled bets in 2022 is as follows: ZEturf [Operator] [Operator] [Operator] [Operator] [Operator]21 (target) Share in the pooled amount [70-80]% [5-10]% [10-20]% [0-5]% [0-5]% [0-5]%</w:t>
      </w:r>
    </w:p>
    <w:p>
      <w:r>
        <w:t>The identified risk of locking in an input</w:t>
      </w:r>
    </w:p>
    <w:p>
      <w:r>
        <w:t>66. Following the operation, FDJ could develop a locking strategy through inputs, by refusing or no longer granting access to competing operators to the common pool of bets currently managed by ZEturf.</w:t>
      </w:r>
    </w:p>
    <w:p>
      <w:r>
        <w:t>67. According to established decision-making practice, the likelihood that the operation distorts competition depends on the ability of the new entity to effectively implement a locking strategy, its incentive to implement such a strategy, and the effects of this strategy on the relevant markets.</w:t>
      </w:r>
    </w:p>
    <w:p>
      <w:r>
        <w:t>68. At the end of the operation, the new entity will be the only one to offer a pooling of bets on online horse racing. It will thus be an essential operator for those operators who are unable to operate a pool alone, namely all other operators, except for PMU. Thus, it will have the capacity to implement the locking strategy described above. In this regard, the operators currently participating in this common pool have all explained, during the investigation, that access to the common pool of ZEturf is essential today to be able to offer their players attractive winnings on online horse racing and to remain competitive.</w:t>
      </w:r>
    </w:p>
    <w:p>
      <w:r>
        <w:t>69. Regarding the incentives to implement such a strategy, given its financial power, reputation, and comprehensive offering of all gambling and gaming products, the new operator will be able to "mechanically" attract new online horse racing bettors, significantly increase its pool of stakes on online horse racing, and thus find itself capable of operating a pool alone, especially since the participation of other operators in the common pool represents only about [20-30]% of the common pool. It will therefore have significantly less interest in continuing to pool its stakes with its competitors.</w:t>
      </w:r>
    </w:p>
    <w:p>
      <w:r>
        <w:t>70. Finally, the implementation of such an exclusionary strategy would have the effect of preventing competing operators, except for PMU, from remaining in the online horse racing market. In this regard, all operators currently participating in the common pool have stated that in the event of the closure of the common pool, they would no longer be able to continue this activity as they would no longer be able to offer attractive winnings to their players.</w:t>
      </w:r>
    </w:p>
    <w:p>
      <w:r>
        <w:t>Conclusion</w:t>
      </w:r>
    </w:p>
    <w:p>
      <w:r>
        <w:t>71. It follows from the above that a risk of harm to competition through conglomerate effects cannot be excluded. However, the notifying party has presented commitments, analyzed in Section IV of this decision, to remedy such a risk, which are likely to dispel any serious doubts about harm to competition through such effects.</w:t>
      </w:r>
    </w:p>
    <w:p>
      <w:r>
        <w:t>IV. The Commitments</w:t>
      </w:r>
    </w:p>
    <w:p>
      <w:r>
        <w:t>72. In order to remedy the anticompetitive effects identified above, FDJ submitted a proposal for commitments on July 5, 2023, the content of which was subjected to a market test. A final version of its commitment proposal was submitted to the Authority on July 28, 2023. This final version was deemed sufficient by the Authority to address the competition concerns raised by the operation and was accepted by the Authority.</w:t>
      </w:r>
    </w:p>
    <w:p>
      <w:r>
        <w:t>73. The commitments of July 28, 2023, are therefore those presented in the developments that follow. Their text, attached as an annex, forms an integral part of this decision.</w:t>
      </w:r>
    </w:p>
    <w:p>
      <w:r>
        <w:t>A. REMINDER OF THE PRINCIPLES</w:t>
      </w:r>
    </w:p>
    <w:p>
      <w:r>
        <w:t>74. The measures intended to remedy the competition harms resulting from the notified operation must comply with the general criteria defined by decision-making practice and case law, in order to be deemed capable of ensuring sufficient competition.</w:t>
      </w:r>
    </w:p>
    <w:p>
      <w:r>
        <w:t>75. The Authority primarily seeks structural measures to remedy the risks of harm to competition. However, to the extent that a behavioral remedy appears more appropriate in this case to prevent the risks of harm to competition resulting from the operation, such a remedy should be defined in a way that ensures its effectiveness and controllability.</w:t>
      </w:r>
    </w:p>
    <w:p>
      <w:r>
        <w:t>76. Furthermore, these remedies must be necessary and effective (i.e., they must effectively remedy the identified harms to competition and the effectiveness of the commitments must not depend on the diligence of the notifying party) and proportionate (in particular, they should not aim to increase the level of competition existing in a market prior to the concentration operation). Their implementation must not raise any doubts (which implies that they are drafted in a precise, unambiguous manner and that the operational modalities for their realization are sufficiently detailed) and must be rapid (competition is not preserved as long as they are not realized). Finally, they must be controllable (the notifying party must provide for a control mechanism, if necessary by proposing the appointment of an independent representative, allowing the Authority to ensure their effective realization).</w:t>
      </w:r>
    </w:p>
    <w:p>
      <w:r>
        <w:t>77. In this case, the commitments are behavioral in nature and appear to be more appropriate than structural commitments to prevent all the conglomerate effects identified above.</w:t>
      </w:r>
    </w:p>
    <w:p>
      <w:r>
        <w:t>B. THE PROPOSED COMMITMENTS AND THEIR ASSESSMENT</w:t>
      </w:r>
    </w:p>
    <w:p>
      <w:r>
        <w:t>1. COMMITMENTS RELATING TO THE ABSENCE OF OPERATION OF ACTIVITIES AT POINTS OF SALE AND ONLINE LOTTERY ACTIVITIES FOR THE DEVELOPMENT OF COMPETITIVE GAMES22 (COMMITMENTS NO. 2, 3, AND 5) AND TO THE SUBSIDIARIZATION OF COMPETITIVE GAMING ACTIVITIES (COMMITMENT NO. 4)</w:t>
      </w:r>
    </w:p>
    <w:p>
      <w:r>
        <w:t>a) The proposed commitments</w:t>
      </w:r>
    </w:p>
    <w:p>
      <w:r>
        <w:t>Commitments relating to the absence of operation of activities at points of sale for the development of competitive games (commitments no. 2)</w:t>
      </w:r>
    </w:p>
    <w:p>
      <w:r>
        <w:t>78. FDJ commits to refrain from any promotion of its competitive games in the advertising spaces it makes available to retailers in the authorized points of sale of its network and not to issue game credits or other bonuses usable on its competitive gaming offers from the betting terminals installed in the authorized points of sale of its network (commitment no. 2a).</w:t>
      </w:r>
    </w:p>
    <w:p>
      <w:r>
        <w:t>79. FDJ commits to offer its competitive gaming offers on one or more websites or applications distinct from the websites and applications that can be used by players in support of activities at points of sale, not to provide a common homepage, and not to integrate, on the websites and applications that can be used by players in support of activities at points of sale, any gateway allowing the player to directly access a website or application dedicated to competitive games and vice versa (commitment no. 2b).</w:t>
      </w:r>
    </w:p>
    <w:p>
      <w:r>
        <w:t>80. FDJ, in the event that player accounts leading to the identification of players in the context of activities at points of sale are established, commits to respect commitments no. 3c and 3d (see below) regarding the establishment and use of these player accounts and the corresponding customer databases (commitment no. 2c).</w:t>
      </w:r>
    </w:p>
    <w:p>
      <w:r>
        <w:t>Commitments relating to the absence of operation of online lottery activities for the development of competitive games (commitments no. 3)</w:t>
      </w:r>
    </w:p>
    <w:p>
      <w:r>
        <w:rPr>
          <w:b/>
        </w:rPr>
        <w:t>[Pages 19–21]</w:t>
      </w:r>
    </w:p>
    <w:p>
      <w:r>
        <w:t xml:space="preserve">81. FDJ undertakes to refrain from implementing any commercial action that would specifically target online lottery players, identified by FDJ as such, in order to encourage them to play competitive games (commitment no. 3a).  </w:t>
        <w:br/>
        <w:t xml:space="preserve">82. FDJ undertakes to offer its competitive game offerings on one or more websites and on one or more applications distinct from the online lottery game websites and applications, to not provide a common homepage, and to not integrate on the online lottery websites and applications any gateway that would allow the player to directly access a website or application dedicated to competitive games and vice versa (commitment no. 3b).  </w:t>
        <w:br/>
        <w:t xml:space="preserve">83. FDJ undertakes to create or maintain a player account (including the associated wallet) specific to online lottery (as well as, where applicable, to any other activity under exclusive rights) and a player account specific to competitive games, and to not integrate any direct gateway between the two accounts. Upon the expiration of a period of twelve months from the date of completion of the concentration operation, any new player account opened with FDJ will allow registration exclusively for the competitive game offerings or exclusively for the offerings of games under exclusive rights. Thus, any player account whose holder is, at that date, a player of competitive games will no longer allow registration in addition to the offerings of games under exclusive rights. Similarly, any player account whose holder is, at that date, a player of games under exclusive rights will no longer allow registration in addition to the competitive game offerings. The separation of the accounts of mixed players existing at that date will be completed within a period of eighteen months from the date of completion of the concentration operation (commitment no. 3c).  </w:t>
        <w:br/>
        <w:t xml:space="preserve">84. FDJ undertakes, upon the expiration of a period of eighteen months following the date of completion of the concentration operation, not to reconstitute a customer database intended for the promotion of its competitive game activities that would reveal data related to its online lottery activities, to prohibit the commercial teams authorized to access the customer database(s) specific to its competitive games from using the online lottery customer databases for the promotion of competitive games, and finally to functionally separate the commercial teams authorized to access the databases and player accounts specific to its exclusive rights from those authorized to access the databases and player accounts specific to its competitive games (commitment no. 3d).  </w:t>
        <w:br/>
        <w:t xml:space="preserve">85. FDJ undertakes to create and operate social media accounts regarding its competitive game offerings that are distinct from those concerning its offerings of games under exclusive rights (commitment no. 3e).  </w:t>
        <w:br/>
        <w:t>86. FDJ undertakes, during the eighteen months following the date of completion of the concentration operation, to maintain the player accounts allowing play on games marketed under the brands "ZEbet" and "ZEturf" separate from the player accounts not yet compliant with the conditions set out in commitment no. 3c and to not allow play on online horse racing from a FDJ player account not yet compliant with the conditions set out in commitment no. 3c ("specific commitments for the transitional period").</w:t>
      </w:r>
    </w:p>
    <w:p>
      <w:r>
        <w:t xml:space="preserve">Commitment Regarding the Spin-off of Competitive Game Activities (commitment no. 4)  </w:t>
        <w:br/>
        <w:t>87. FDJ undertakes to organize its competitive game activities within one or more dedicated subsidiary(ies) within a period of thirty months from the date of completion of the concentration operation.</w:t>
      </w:r>
    </w:p>
    <w:p>
      <w:r>
        <w:t xml:space="preserve">Commitment to Train Commercial Teams (commitment no. 5)  </w:t>
        <w:br/>
        <w:t xml:space="preserve">88. FDJ undertakes to establish a training system for all teams employed by FDJ for the promotion of games under exclusive rights and competitive games, as well as for the management of the network of activities at points of sale, regarding compliance with commitments no. 2 and 3. The first training sessions will take place within three months following the date of completion of the concentration operation.  </w:t>
        <w:br/>
        <w:t xml:space="preserve">b) Assessment of the Proposed Commitments  </w:t>
        <w:br/>
        <w:t xml:space="preserve">89. By their nature, these commitments effectively prevent the identified risk of the new entity implementing a conglomerate strategy that would link its offerings of games under exclusive rights (online and point-of-sale lottery games and point-of-sale sports betting) and its offerings of competitive games (horse racing and online sports betting).  </w:t>
        <w:br/>
        <w:t xml:space="preserve">90. The notifying party commits to clearly separate the operation of its two activities (promotional activities, customer journeys, player accounts, and customer databases will be specific to each activity) and to not use the information collected from its exclusive rights game customers to encourage that same customer base to play competitive games. Thus, any cross-utilization of its customer databases is excluded. Furthermore, it is provided that the teams employed for the promotion of games under exclusive rights and competitive games will be quickly trained, within three months following the date of completion of the concentration operation, regarding the implementation of these commitments.  </w:t>
        <w:br/>
        <w:t xml:space="preserve">91. Specifically regarding customer accounts, every player must open a customer account for each type of activity (games under exclusive rights or competitive games). It will not be possible to register in addition to the offerings of games under exclusive rights or those of competitive games, and deposits or winnings made on a customer account opened for an exclusive rights game activity cannot be transferred to a customer account opened for a competitive game activity and vice versa.  </w:t>
        <w:br/>
        <w:t xml:space="preserve">92. Several respondents to the market test on the commitments indicated that they would also like FDJ to separate the graphic identities (logo) and distinctive elements (brand) of the games under exclusive rights and competitive games. However, the mere fact of using the same logo or brand for its monopoly game activities and competitive games does not inherently lead to anti-competitive effects after the operation, nor does it facilitate such effects. Only the implementation of practices aimed at maintaining confusion between the two activities in the player's mind would be likely to pose such a risk. In this case, the commitments made by the notifying party aim to avoid any confusion between its two activities. Therefore, commitments aimed at separating the graphic identities and distinctive elements are not necessary.  </w:t>
        <w:br/>
        <w:t>93. The commitment to spin off the activities reinforces the separation of monopoly game activities and games open to competition.</w:t>
      </w:r>
    </w:p>
    <w:p>
      <w:r>
        <w:t xml:space="preserve">94. Furthermore, these commitments are proportionate as they aim to address the risks specifically identified as being raised by the operation. Additionally, they provide operational modalities governing their implementation and foresee an adequate control system. Specifically regarding the entry into force of the separation of player accounts (commitment no. 3c), several respondents to the market test on the commitments criticize its entry into force as being too late (at the latest, eighteen months after the date of completion of the concentration operation). However, considering the significant IT developments required to successfully carry out this separation, the effective date of this commitment is appropriate in this case.  </w:t>
        <w:br/>
        <w:t>95. Finally, these commitments will apply for the entire duration during which FDJ may implement the leverage identified above, that is, for the duration during which FDJ will hold a monopoly.</w:t>
      </w:r>
    </w:p>
    <w:p>
      <w:r>
        <w:t xml:space="preserve">2. COMMITMENT REGARDING ACCESS TO THE MUTUALIZATION AGREEMENT (COMMITMENT NO. 1)  </w:t>
        <w:br/>
        <w:t xml:space="preserve">a) The Proposed Commitment  </w:t>
        <w:br/>
        <w:t xml:space="preserve">96. FDJ undertakes, on the one hand, to provide any licensed operator in France for online horse racing betting who requests it, access under objective and non-discriminatory conditions to the common pool of stakes from online horse racing betting that it manages by allowing them to enter into a mutualization agreement, and on the other hand, to continue the execution of mutualization agreements, under the conditions in force at the date of completion of the concentration operation, or in any case under objective and non-discriminatory conditions. Furthermore, FDJ undertakes not to cease mutualizing its online horse racing stakes within the common pool open to third-party operators.  </w:t>
        <w:br/>
        <w:t xml:space="preserve">97. FDJ retains the possibility to revise certain clauses of the agreements, to terminate the agreements, or to not renew them but only to comply with applicable legal, regulatory, or corporate social responsibility requirements, to reflect changes in costs as expressed by the Syntec index, or for one of the reasons stipulated in the mutualization agreements. In this latter case, FDJ may only terminate the mutualization agreement when the other party fails to meet its contractual obligations, loses its license as a horse racing operator, has its license not renewed by the ANJ, or is subject to a change of control.  </w:t>
        <w:br/>
        <w:t xml:space="preserve">98. Furthermore, FDJ undertakes to maintain the mutualization of its online horse racing stakes within the common pool open to third-party operators.  </w:t>
        <w:br/>
        <w:t>99. Moreover, in the event of termination, non-renewal, or refusal to enter into a mutualization agreement, the agent will be informed of this decision at least one month before the notification date of this decision, as well as of the consequences of this decision at least until the effective date of non-renewal, termination, or notification of refusal to enter into an agreement. FDJ will also inform the agent of any modification or renewal of a mutualization agreement, as well as of any potential non-renewal or termination initiated by the other party to a mutualization agreement, and will provide them with the relevant agreement and all necessary elements for their assessment. Similarly, any difficulty that arises in the context of the negotiation, renewal, or termination of a mutualization agreement must be reported without delay to the agent. Finally, in the event of a dispute between FDJ and an operator who has entered into or wishes to enter into a mutualization agreement, it must be subject to conciliation.</w:t>
      </w:r>
    </w:p>
    <w:p>
      <w:r>
        <w:rPr>
          <w:b/>
        </w:rPr>
        <w:t>[Pages 22–23]</w:t>
      </w:r>
    </w:p>
    <w:p>
      <w:r>
        <w:t xml:space="preserve">under the auspices of the representative before the initiation of any proceedings before the competent jurisdiction.  </w:t>
        <w:br/>
        <w:t xml:space="preserve">100. This commitment is made for a duration of five years and may be renewed once, at the initiative of the Authority.  </w:t>
        <w:br/>
        <w:t xml:space="preserve">b) Assessment of the Proposed Commitment  </w:t>
        <w:br/>
        <w:t xml:space="preserve">101. By its nature, this commitment allows, upon the completion of the concentration operation, to effectively prevent the risk of exclusion from the online horse racing betting market of competing operators by allowing them to access or maintain access to the pool of stakes shared by the target. Indeed, in the absence of such a commitment, the new operator could decide to no longer operate in the shared pool.  </w:t>
        <w:br/>
        <w:t xml:space="preserve">102. Thus, this commitment obliges FDJ to continue the ongoing mutualization agreements or to allow the conclusion of new mutualization agreements with other horse racing betting operators, if applicable, and establishes the principle that FDJ may only revise the clauses or terminate the agreements at its initiative in a limited number of cases.  </w:t>
        <w:br/>
        <w:t xml:space="preserve">103. The mechanism provided to monitor the implementation of this commitment ensures that the commitment will indeed be implemented and that any potential non-compliance will be brought to the attention of the representative.  </w:t>
        <w:br/>
        <w:t xml:space="preserve">104. Finally, the renewable duration of five years provided for this commitment is sufficient not to hinder third parties, who benefit from the shared pool, in their ability to continue their horse racing betting activities, to develop, and potentially to free themselves from the necessity of remaining within the shared pool with the target.  </w:t>
        <w:br/>
        <w:t xml:space="preserve">***  </w:t>
        <w:br/>
        <w:t xml:space="preserve">105. Consequently, the Authority considers that the commitments proposed by FDJ are sufficient to dispel serious doubts regarding harm to competition.  </w:t>
        <w:br/>
        <w:t>22</w:t>
      </w:r>
    </w:p>
    <w:p>
      <w:r>
        <w:t xml:space="preserve">DECISION  </w:t>
        <w:br/>
        <w:t xml:space="preserve">Sole Article: The operation notified under number 22-334 is authorized subject to the commitments described in paragraphs 72 to 105 above and annexed to this decision.  </w:t>
        <w:br/>
        <w:t xml:space="preserve">The President,  </w:t>
        <w:br/>
        <w:t xml:space="preserve">Benoît Cœuré  </w:t>
        <w:br/>
        <w:t xml:space="preserve">© Competition Authority  </w:t>
        <w:br/>
        <w:t>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