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w:t>
      </w:r>
    </w:p>
    <w:p>
      <w:r>
        <w:t>Pages translated : 6</w:t>
      </w:r>
    </w:p>
    <w:p/>
    <w:p>
      <w:r>
        <w:rPr>
          <w:b/>
        </w:rPr>
        <w:t>[Pages 1–3]</w:t>
      </w:r>
    </w:p>
    <w:p>
      <w:r>
        <w:t>FRENCH REPUBLIC</w:t>
        <w:br/>
        <w:t>Decision No. 15-DCC-134 of October 5, 2015</w:t>
        <w:br/>
        <w:t>regarding the exclusive control of the Océalliance group by the</w:t>
        <w:br/>
        <w:t>company Perceva</w:t>
        <w:br/>
        <w:t>The Competition Authority,</w:t>
        <w:br/>
        <w:t>Having regard to the notification file sent to the merger service on August 31, 2015, concerning the exclusive control of the Océalliance group by the company Perceva, formalized by a protocol of agreement for the transfer and contribution of shares signed on June 26, 2015;</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companies concerned and the operation</w:t>
        <w:br/>
        <w:t>1. Perceva is a portfolio management company approved by the AMF whose activity is the management of professional private equity funds (hereinafter "FPCI"). Perceva is jointly owned and controlled by three individuals, Messrs. Jean-Louis Grevet, Franck Kelif, and Christophe Ambrosi. Perceva acts as the manager of the two FPCI France Special Situations Fund I and II (hereinafter "FSSF I" and "FSSF II"). Perceva exercises, through the FSSF I fund, exclusive control over Finmarée (formerly the Mariteam group), of which it holds […] % of the shares and voting rights. Finmarée engages in the fish trading and wholesale distribution of fresh seafood products (fish, shellfish, crustaceans).</w:t>
        <w:br/>
        <w:t>1 Perceva thus controls the companies Premdor (door manufacturing), Emova Groupe (flower distribution), BPI (management consulting), Supra (manufacturing of fireplaces, wood stoves, and inserts), Dalloyau (catering and event organization), and the Behm International group, formerly Trailor ACTM International Holding (manufacturing of trailers, semi-trailers, machinery transporters, dump trucks, and special vehicles).</w:t>
        <w:br/>
        <w:t>2 See the decision of the Competition Authority No. 11-DCC-152 of October 11, 2011, regarding the acquisition of control of the Mariteam group by the company Perceva.</w:t>
      </w:r>
    </w:p>
    <w:p>
      <w:r>
        <w:t>2. Océalliance Sofidev is a holding company that, through the company Furic Marée Océalliance, holds companies active in the fish trading, retail, and processing sectors (hereinafter collectively referred to as "Océalliance").</w:t>
        <w:br/>
        <w:t>3. The proposed transaction involves the acquisition of all shares of Océalliance Sofidev and its subsidiaries by Finmarée. As it results in the exclusive control of Océalliance by Perceva, the notified transaction constitutes a concentration within the meaning of Article L. 430-1 of the Commercial Code.</w:t>
        <w:br/>
        <w:t>4. The companies concerned together achieve a total worldwide turnover of more than 150 million euros (Perceva: […] million euros for the fiscal year ending December 31, 2014; Océalliance: […] million euros for the same fiscal year). Each achieves a turnover in France exceeding 50 million euros (Perceva: […] million euros for the fiscal year ending December 31, 2014; Océalliance: […] million euros for the same fiscal year). Given these turnover figures, the transaction does not fall under the jurisdiction of the European Union. However, the control thresholds mentioned in point I of Article L. 430-2 of the Commercial Code are exceeded. The present transaction is therefore subject to the provisions of Articles L. 430-3 and following of the Commercial Code relating to economic concentration.</w:t>
        <w:br/>
        <w:t>II. Delimitation of relevant markets</w:t>
        <w:br/>
        <w:t>5. The parties to the transaction are simultaneously active in the fish trading and wholesale distribution sectors of fresh seafood products.</w:t>
        <w:br/>
        <w:t>A. THE FISH TRADING SECTOR</w:t>
        <w:br/>
        <w:t>1. THE PRODUCT MARKET</w:t>
        <w:br/>
        <w:t>6. Decision-making practice has considered the existence of a relevant market corresponding to the fish trading activity, consisting of purchasing fresh seafood products at auctions for sorting, allotting, and then packaging. The fish trading activity differs from wholesale trading (purchase for resale) in that it integrates a technical function (sorting, allotting, slicing, filleting) and a commercial function, consisting of sourcing from auctions and fishermen, or through imports, for the purpose of distributing the products.</w:t>
        <w:br/>
        <w:t>7. Furthermore, fish trading requires approval from the managing organizations of the auction. In accordance with Article D. 932-9 of the Rural and Maritime Fishing Code, buyers participating in a public auction must, among other things, register with the managing organization of the fish market.</w:t>
        <w:br/>
        <w:t>3 See the decisions Letter from the Minister of State, Minister of Economy, Finance, and Industry, dated June 21, 2004, to the board of the company Charly Guennec Entreprises, regarding a concentration in the fish trading and wholesale and semi-wholesale trade of aquatic products, as well as the decision of the Competition Authority No. 11-DCC-152 regarding the acquisition of control of the Mariteam group by the company Perceva.</w:t>
      </w:r>
    </w:p>
    <w:p>
      <w:r>
        <w:t>2. THE GEOGRAPHIC MARKET</w:t>
        <w:br/>
        <w:t>8. Decision-making practice has considered a local delimitation of the fish market due to the indispensable proximity of fish trading companies to the fish markets, of which there are 38 in France.</w:t>
        <w:br/>
        <w:t>9. In this case, the parties to the transaction are both present at the fish markets of Audierne, Brest, Concarneau, Erquy, La Turballe, La Rochelle, Le Guilvinec, Loctudy, Lorient, Noirmoutier, Port en Bessin, Quiberon, Roscoff, Les Sables d'Olonne, Saint Gilles Croix de Vie, Saint Quay Portrieux, and Saint Guénolé Penmarch.</w:t>
        <w:br/>
        <w:t>10. The notifying party considers that the fish market should be geographically delimited auction by auction. However, it is important to note the significant development of remote sales, with fish markets today being fully computerized and allowing for the registration of buyers online. The notifying party also indicated the presence of numerous competitors, many of whom do not have a national presence.</w:t>
        <w:br/>
        <w:t>11. Consequently, the notifying party provided an estimate of market shares at each of the auctions where the new entity will be present as well as at the national level. Perceva also provided the position that the new entity will hold at each of the French maritime fronts (according to the delimitation retained by FranceAgriMer) on which the parties to the transaction are simultaneously present, namely the Channel, South Brittany, and the Atlantic, as well as on the North-Pas-de-Calais front.</w:t>
        <w:br/>
        <w:t>12. In this case, the question of the exact delimitation of the fish market will, however, be left open, as the conclusions of the competitive analysis remain unchanged regardless of the delimitations retained.</w:t>
        <w:br/>
        <w:t>B. THE WHOLESALE DISTRIBUTION SECTOR OF FRESH SEAFOOD PRODUCTS</w:t>
        <w:br/>
        <w:t>1. THE PRODUCT MARKET</w:t>
        <w:br/>
        <w:t>13. The notifying party estimates that the wholesale distribution market of seafood products is subdivided into two sub-markets based on the packaging of the products, fresh or frozen. In this case, the parties are simultaneously present in the market for the distribution of fresh seafood products.</w:t>
        <w:br/>
        <w:t>14. Decision-making practice has noted the existence of a wholesale distribution market for fresh seafood products (or "aquatic products"), that is to say, fish, shellfish, and crustaceans. Within this activity, the relevance of any segmentation based on the nature of the products sold has been dismissed, as both suppliers and buyers are</w:t>
      </w:r>
    </w:p>
    <w:p>
      <w:r>
        <w:rPr>
          <w:b/>
        </w:rPr>
        <w:t>[Pages 4–6]</w:t>
      </w:r>
    </w:p>
    <w:p>
      <w:r>
        <w:t>plaintiffs (large and medium-sized stores, commercial catering companies, and collective catering, fishmongers, and caterers) offer both fish, shells, and crustaceans and are therefore not specialized in selling a particular type of product. However, decision-making practice has considered segmenting the wholesale distribution market of fresh seafood by distribution channel, distinguishing out-of-home catering ("RHF"), large and medium-sized stores ("GMS"), and the food industry. Regarding RHF, decision-making practice has considered the existence of a distinct market for distribution to cafes, hotels, and restaurants ("CHR").</w:t>
      </w:r>
    </w:p>
    <w:p>
      <w:r>
        <w:t>15. In this case, the notifying party also proposes to distinguish within the wholesale distribution of fresh seafood, fishmongers and wholesalers.</w:t>
      </w:r>
    </w:p>
    <w:p>
      <w:r>
        <w:t>16. The question of the exact delimitation of the wholesale distribution market of fresh seafood may, however, be left open, as the conclusions of the competitive analysis remain unchanged regardless of the delimitations retained. In this case, the parties distribute their products through the channels of RHF, GMS, fishmongers, and wholesalers, which will be examined individually. However, the effects of the operation will not be examined in the segment of the food industry, as the new entity is only very marginally present there.</w:t>
      </w:r>
    </w:p>
    <w:p>
      <w:r>
        <w:t xml:space="preserve">2. THE GEOGRAPHIC MARKET </w:t>
        <w:br/>
        <w:t>17. Regarding the geographic delimitation of the market, decision-making practice, while leaving the question open, suggests that the wholesale distribution of fresh seafood has a regional dimension, as the competitive analysis of previous operations has been examined at the level of the Île-de-France region.</w:t>
      </w:r>
    </w:p>
    <w:p>
      <w:r>
        <w:t>18. In this case, the parties to the operation are minimally present in the Île-de-France region. They also consider that the geographic dimension of the seafood distribution market may vary depending on the distribution channel considered. Thus, RHF, GMS, and fishmongers would favor regional sourcing, while wholesalers and the food industry would have national sourcing. Finally, the market for the export of fresh seafood products would be of European, if not global, dimension.</w:t>
      </w:r>
    </w:p>
    <w:p>
      <w:r>
        <w:t>19. The question of the exact delimitation of the wholesale distribution markets of seafood will be left open, as the conclusions of the competitive analysis remain unchanged, regardless of the delimitations retained.</w:t>
      </w:r>
    </w:p>
    <w:p>
      <w:r>
        <w:t>9 See the letter from the Minister of Economy dated June 21, 2004, to the board of the company Charly Guennec Entreprises regarding a concentration in the food sector, as well as the decisions of the Competition Council No. 11-D-03 of February 15, 2011, regarding practices implemented in the wholesale trade of fresh fruits and vegetables and seafood, and of the Competition Authority No. 11-DCC-152 of October 11, 2011, regarding the acquisition of the Mariteam group by the company Perceva.</w:t>
      </w:r>
    </w:p>
    <w:p>
      <w:r>
        <w:t>10 See the aforementioned decisions.</w:t>
      </w:r>
    </w:p>
    <w:p>
      <w:r>
        <w:t xml:space="preserve">III. Competitive Analysis </w:t>
        <w:br/>
        <w:t xml:space="preserve">A. THE MARKET OF FISH MARKETS </w:t>
        <w:br/>
        <w:t>20. The notifying party indicated that the market share in volume and value of the new entity would represent [10-20]% of all fish markets in France, with [0-5]% for Mariteam and [5-10]% for Océalliance. Regarding the fish markets where the parties to the operation are simultaneously present, the market share of the new entity will remain below 25%.</w:t>
      </w:r>
    </w:p>
    <w:p>
      <w:r>
        <w:t>21. If a coastal approach is retained, the market share of the new entity will be [0-5]% on the Channel coast, [10-20]% on the South Brittany coast, and [10-20]% on the Atlantic coast.</w:t>
      </w:r>
    </w:p>
    <w:p>
      <w:r>
        <w:t>22. The notifying party further indicates that the new entity will continue to face numerous fish traders, in particular, Demarne Frères, Mericq, the Vivier Béganton group, Vives eaux, Alliance Marée, the Fipêche group, Gallen, and Top Atlantique. It also indicates that this competition is all the more intense as many operators are vertically integrated, such as the Intermarché group, which owns integrated fish trading subsidiaries (Capitaine Houat and Viviers la Méloine).</w:t>
      </w:r>
    </w:p>
    <w:p>
      <w:r>
        <w:t xml:space="preserve">23. Therefore, the operation is not likely to harm competition in the relevant fish market. </w:t>
        <w:br/>
        <w:t xml:space="preserve">B. THE MARKETS FOR WHOLESALE DISTRIBUTION OF FRESH SEAFOOD </w:t>
        <w:br/>
        <w:t>24. The parties to the operation distribute their fresh seafood products primarily to RHF, GMS, fishmongers, wholesalers, and for export.</w:t>
      </w:r>
    </w:p>
    <w:p>
      <w:r>
        <w:t>25. In the RHF segment, at the national level, the new entity estimated that it would represent [0-5]% market share ([0-5]% for Finmarée and [0-5]% for Océalliance). At the regional level, the parties are simultaneously active in the Pays de la Loire, Brittany, Poitou-Charentes, and Île-de-France. In Île-de-France, the new entity will hold an estimated market share of [10-20]% ([0-5]% for Finmarée and [10-20]% for Océalliance). In the other regions concerned by the operation, the market share of the new entity will remain below [0-5]%.</w:t>
      </w:r>
    </w:p>
    <w:p>
      <w:r>
        <w:t>26. In the GMS segment, the new entity estimated that it would represent [0-5]% market share at the national level ([0-5]% for Finmarée and [0-5]% for Océalliance). At the regional level, regardless of the region considered, the new entity will hold a market share below [5-10]%, with an increment below [0-5]%.</w:t>
      </w:r>
    </w:p>
    <w:p>
      <w:r>
        <w:t>27. In the fishmongers segment, at the national level, the new entity estimated that it would hold [0-5]% market share ([0-5]% for Finmarée and [0-5]% for Océalliance). At the regional level, its position will be below [5-10]%, except for the "South-West" region block (which includes Aquitaine and the Midi-Pyrénées region) with an estimated market share of [20-30]% ([20-30]% for Finmarée and [0-5]% for Océalliance).</w:t>
      </w:r>
    </w:p>
    <w:p>
      <w:r>
        <w:t>28. Finally, in the wholesalers segment, the new entity estimated that it would represent [5-10]% market share ([0-5]% for Finmarée and [0-5]% for Océalliance) at the national level.</w:t>
      </w:r>
    </w:p>
    <w:p>
      <w:r>
        <w:t>On all wholesale distribution markets of fresh seafood, the new entity will continue to face competition from numerous operators, including the groups mentioned above regarding the fish trading sector.</w:t>
      </w:r>
    </w:p>
    <w:p>
      <w:r>
        <w:t xml:space="preserve">29. Therefore, the operation is not likely to harm competition in the wholesale markets for fresh seafood distribution. </w:t>
        <w:br/>
        <w:t xml:space="preserve">DECIDES </w:t>
        <w:br/>
        <w:t xml:space="preserve">Sole Article: The notified operation under number 15-119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