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https://www.autoritedelaconcurrence.fr/fr/decision-de-controle-des-concentrations/relative-la-prise-de-controle-exclusif-du-pole</w:t>
      </w:r>
    </w:p>
    <w:p>
      <w:r>
        <w:t>Pages translated : 2</w:t>
      </w:r>
    </w:p>
    <w:p/>
    <w:p>
      <w:r>
        <w:rPr>
          <w:b/>
        </w:rPr>
        <w:t>[Pages 1–2]</w:t>
      </w:r>
    </w:p>
    <w:p>
      <w:r>
        <w:t xml:space="preserve">FRENCH REPUBLIC  </w:t>
        <w:br/>
        <w:t xml:space="preserve">Decision No. 14-DCC-69 of May 22, 2014  </w:t>
        <w:br/>
        <w:t xml:space="preserve">regarding the exclusive control acquisition of the Automatic Distributors Division of the Coser group by Montefiore Investment  </w:t>
        <w:br/>
        <w:t xml:space="preserve">The Competition Authority,  </w:t>
        <w:br/>
        <w:t xml:space="preserve">Having regard to the notification file submitted in full to the mergers department on April 30, 2014, concerning the exclusive control acquisition of the companies and assets comprising the Automatic Distributors Division of the Coser group by Montefiore Investment, formalized by a share transfer agreement dated April 29,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Montefiore Investment of the companies and assets comprising the Automatic Distributors Division currently held by the Coser group, operating in France a fleet of more than 19,603 vending machines under the Lyovel brand installed at companies and public establishments. It constitutes a concentration operation within the meaning of Article L. 430-1 of the Commercial Code. Given the turnover generated by the companies concerned, the operation does not fall under the jurisdiction of the European Union. On the other hand, the control thresholds relating to concentration operations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14-026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