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https://www.autoritedelaconcurrence.fr/fr/decision-de-controle-des-concentrations/relative-la-prise-de-controle-exclusif-dun-fonds-commerce</w:t>
      </w:r>
    </w:p>
    <w:p>
      <w:r>
        <w:t>Pages translated : 2</w:t>
      </w:r>
    </w:p>
    <w:p/>
    <w:p>
      <w:r>
        <w:rPr>
          <w:b/>
        </w:rPr>
        <w:t>[Pages 1–2]</w:t>
      </w:r>
    </w:p>
    <w:p>
      <w:r>
        <w:t xml:space="preserve">REPUBLIC OF FRANCE  </w:t>
        <w:br/>
        <w:t xml:space="preserve">Decision No. 22-DCC-99 of June 9, 2022  </w:t>
        <w:br/>
        <w:t>regarding the exclusive control acquisition of an automotive distribution business by the By My Car group</w:t>
      </w:r>
    </w:p>
    <w:p>
      <w:r>
        <w:t>The Competition Authority,</w:t>
      </w:r>
    </w:p>
    <w:p>
      <w:r>
        <w:t>Having regard to the notification file submitted in full to the mergers department on May 10, 2022, concerning the exclusive control acquisition of an automotive distribution business by the company By My Car Automotive, a subsidiary of the By My Car group, formalized by a letter of intent dated March 18, 2022;</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 xml:space="preserve">Adopts the following decision:  </w:t>
        <w:br/>
        <w:t xml:space="preserve">1. The notified operation consists of the exclusive control acquisition by the By My Car group, active in the automotive distribution sector, of a business comprising two car dealerships located in Antibes (06) and Le Cannet (06).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22-112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