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https://www.autoritedelaconcurrence.fr/fr/decision-de-controle-des-concentrations/relative-la-prise-de-controle-exclusif-dun-fonds-de-0</w:t>
      </w:r>
    </w:p>
    <w:p>
      <w:r>
        <w:t>Pages translated : 2</w:t>
      </w:r>
    </w:p>
    <w:p/>
    <w:p>
      <w:r>
        <w:rPr>
          <w:b/>
        </w:rPr>
        <w:t>[Pages 1–2]</w:t>
      </w:r>
    </w:p>
    <w:p>
      <w:r>
        <w:t xml:space="preserve">FRENCH REPUBLIC  </w:t>
        <w:br/>
        <w:t xml:space="preserve">Decision No. 12-DCC-164 of December 3, 2012  </w:t>
        <w:br/>
        <w:t xml:space="preserve">regarding the exclusive control acquisition of an automobile business located in Evreux by the company Lamirault Finances  </w:t>
        <w:br/>
        <w:t xml:space="preserve">The Competition Authority,  </w:t>
        <w:br/>
        <w:t xml:space="preserve">Having regard to the complete notification file submitted to the mergers department on October 29, 2012, concerning the exclusive control acquisition by the company Lamirault Finances of an automobile business operated in Evreux (27) from Société Commerciale Citroën, formalized by a bilateral promise of business transfer, subject to conditions precedent, dated October 19, 2012;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a business operating a Citroën automobile dealership in Evreux (27) by the company Lamirault Finances, which operates automobile dealerships in the Centre and Île-de-France regions. It constitutes a concentration operation within the meaning of Article L. 430-1 of the Commercial Code. Given the turnover achieved by the companies concerned, the operation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12-174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