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https://www.autoritedelaconcurrence.fr/fr/decision-de-controle-des-concentrations/relative-la-prise-de-controle-exclusif-dun-fonds-de-1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12-DCC-23 of February 10, 2012  </w:t>
        <w:br/>
        <w:t xml:space="preserve">regarding the exclusive control acquisition of an automobile business by the Paillard group  </w:t>
        <w:br/>
        <w:t xml:space="preserve">The Competition Authority,  </w:t>
        <w:br/>
        <w:t xml:space="preserve">Having regard to the notification file sent to the mergers department on January 5, 2012, and declared complete on February 1, 2012, concerning the acquisition of a business belonging to Société Commerciale Automobile by Paillard Automobile Poulainville formalized by a promise of transfer of business assets dated December 23, 2011;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a Peugeot brand automobile business in the city of Dury-les-Amiens (80), by the Paillard group, which operates dealerships for the Peugeot, Citroën, and Isuzu brands located in the departments of Somme (80) and Pas-de-Calais (62). It constitutes a concentration operation within the meaning of Article L. 430-1 of the Commercial Code. Given the turnover achieved by the companies concerned, the operation does not have a community dimension. However, the retail control thresholds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12-001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