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https://www.autoritedelaconcurrence.fr/fr/decision-de-controle-des-concentrations/relative-la-prise-de-controle-exclusif-dun-fonds-de-10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13-DCC-65 of June 19, 2013  </w:t>
        <w:br/>
        <w:t xml:space="preserve">regarding the exclusive control acquisition of a business of  </w:t>
        <w:br/>
        <w:t>automobile distribution by the ECL group</w:t>
      </w:r>
    </w:p>
    <w:p>
      <w:r>
        <w:t>The Competition Authority,</w:t>
      </w:r>
    </w:p>
    <w:p>
      <w:r>
        <w:t>Having regard to the notification file sent to the mergers department on April 30, 2013, and declared complete on May 28, 2013, concerning the exclusive control acquisition of a business of automobile distribution by the ECL group, materialized by a synallagmatic promise of sale dated April 23, 2013;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>Having regard to the additional elements provided by the parties during the investigation;</w:t>
      </w:r>
    </w:p>
    <w:p>
      <w:r>
        <w:t xml:space="preserve">Adopts the following decision:  </w:t>
        <w:br/>
        <w:t xml:space="preserve">1. The notified operation consists of the exclusive control acquisition of a business of Citroën automobile dealership in the city of La Chapelle Saint Luc (10) by the ECL group, which operates automobile dealerships in other departments.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13-065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