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https://www.autoritedelaconcurrence.fr/fr/decision-de-controle-des-concentrations/relative-la-prise-de-controle-exclusif-dun-fonds-de-11</w:t>
      </w:r>
    </w:p>
    <w:p>
      <w:r>
        <w:t>Pages translated : 5</w:t>
      </w:r>
    </w:p>
    <w:p/>
    <w:p>
      <w:r>
        <w:rPr>
          <w:b/>
        </w:rPr>
        <w:t>[Pages 1–3]</w:t>
      </w:r>
    </w:p>
    <w:p>
      <w:r>
        <w:t xml:space="preserve">FRENCH REPUBLIC  </w:t>
        <w:br/>
        <w:t xml:space="preserve">Decision No. 14-DCC-139 of September 24, 2014  </w:t>
        <w:br/>
        <w:t xml:space="preserve">regarding the exclusive control of a business operated  </w:t>
        <w:br/>
        <w:t>by the company ATAC by the company ITM Alimentaire Région-Parisienne</w:t>
      </w:r>
    </w:p>
    <w:p>
      <w:r>
        <w:t xml:space="preserve">The Competition Authority,  </w:t>
        <w:br/>
        <w:t xml:space="preserve">Having regard to the notification file sent to the merger service on July 28, 2014, and declared complete on September 1, 2014, regarding the exclusive control of a business operated by the company ATAC by the company ITM Alimentaire Région-Parisienne, formalized by a transfer protocol dated July 21, 2014;  </w:t>
        <w:br/>
        <w:t xml:space="preserve">Having regard to Book IV of the Commercial Code relating to price freedom and competition, and in particular its Articles L. 430-1 to L. 430-7;  </w:t>
        <w:br/>
        <w:t>Adopts the following decision:</w:t>
      </w:r>
    </w:p>
    <w:p>
      <w:r>
        <w:t xml:space="preserve">I. The companies concerned and the operation  </w:t>
        <w:br/>
        <w:t xml:space="preserve">1. ITM Alimentaire Région-Parisienne is a company under French law wholly owned by ITM Alimentaire International, which is itself owned by ITM Entreprises. It manages and develops in the Île-de-France region the network of franchisees operating under the food brands Intermarché and Netto. ITM Entreprises, a company 100% controlled by the civil company of the Mousquetaires, itself owned by 1,330 individuals known as "associated members," leads and animates the network of independent merchants known as the "Groupement des Mousquetaires." As a franchisor, ITM Entreprises' main activity is the management of a network of sales outlets, both food and non-food, operated by independent merchants under the following brands: Intermarché, Ecomarché, Netto, Restaumarché, Bricomarché, Roady, and Vêti. This management is carried out notably through the signing and monitoring of brand contracts with the companies operating these sales outlets. ITM Entreprises also provides its franchisees with various services for prospecting, consulting, training, etc. Finally, ITM Entreprises offers franchisees the possibility of benefiting from advantageous procurement conditions from its national and regional subsidiaries as well as from external suppliers referenced outside the "Groupement des Mousquetaires."  </w:t>
        <w:br/>
        <w:t xml:space="preserve">2. The company ATAC, a subsidiary of the Auchan group, operates retail businesses predominantly focused on food under the group's brands. The target business is a retail outlet operated by ATAC under the Auchan brand, with a surface area of 4,172 m² and located at 24 boulevard Georges Michel in Corbeil-Essonnes (91).  </w:t>
        <w:br/>
        <w:t xml:space="preserve">3. Under a transfer protocol dated July 21, 2014, the notified operation consists of the acquisition by ITM Alimentaire Région Parisienne of the business currently operated by ATAC. It constitutes a concentration within the meaning of Article L. 430-1 of the Commercial Code.  </w:t>
        <w:br/>
        <w:t>4. The companies concerned operate several retail stores and together achieve a total worldwide turnover of more than 75 million euros (ITM Entreprises: […] euros for the fiscal year ending December 31, 2013; target business: […] euros for the same fiscal year). Each generates in France in the retail sector a turnover exceeding 15 million euros (ITM Entreprises: […] euros for the fiscal year ending December 31, 2013; target business: […] euros for the same fiscal year). Given these turnover figures, the operation does not fall under the jurisdiction of the European Union. However, the control thresholds related to retail mentioned in point II of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5. According to the consistent practice of national and European competition authorities, two categories of markets can be delineated in the food distribution sector. These are, on the one hand, "downstream" markets, of a local dimension, which bring together retail companies and consumers for the sale of consumer goods, and on the other hand, "upstream" markets for supplying retail companies with everyday consumer goods, of a national dimension.  </w:t>
        <w:br/>
        <w:t xml:space="preserve">1 See in particular the decisions of the Commission M.946 Intermarché/Spar of June 30, 1997, M.991 Promodès/Casino of October 30, 1997, and M.1684 Carrefour/Promodès of January 25, 2000. See also the ministerial order of July 5, 2000, in the Carrefour/Promodès operation and the opinions of the Competition Council No. 97-A-14 of July 1, 1997, in the Carrefour/Cora case, No. 98-A-06 of May 5, 1998, in the Casino Franprix/Leader Price case, and No. 00-A-06 of May 3, 2000, in the Carrefour/Promodès case.  </w:t>
        <w:br/>
        <w:t>2 Decisions of the Commission in the cases M.1221 Rewe/Meinl of February 3, 1999, M.1684 Carrefour/Promodès of January 25, 2000, and M.2115 Carrefour/GB of September 28, 2000. See also the decision C.2005-98 Carrefour/Penny Market of November 10, 2005.</w:t>
      </w:r>
    </w:p>
    <w:p>
      <w:r>
        <w:t xml:space="preserve">A. DOWNSTREAM DISTRIBUTION MARKETS  </w:t>
        <w:br/>
        <w:t xml:space="preserve">1. SERVICE MARKETS  </w:t>
        <w:br/>
        <w:t xml:space="preserve">6. Regarding the retail sale of everyday consumer goods, competition authorities, both European and national, have distinguished six categories of commerce using several criteria, including store size, sales techniques, accessibility, the nature of the service provided, and the range of products offered: (i) hypermarkets, (ii) supermarkets, (iii) specialized trade, (iv) small retail trade, (v) discount stores, and (vi) mail order sales.  </w:t>
        <w:br/>
        <w:t xml:space="preserve">7. Hypermarkets are usually defined as food-dominant stores with a sales area equal to or greater than 2,500 m², supermarkets as food-dominant stores with a sales area less than 2,500 m² and greater than 400 m², and convenience stores as food-dominant stores with a sales area less than 400 m² and greater than 120 m². However, it should be noted that these thresholds should be used with caution and may be adapted to the specific case, considering that stores whose area is close to a threshold, either below or above, may be in direct competition in practice.  </w:t>
        <w:br/>
        <w:t xml:space="preserve">8. Competition authorities also consider that, while each category of store retains its specificity, there is asymmetric competition between some of these categories. Indeed, a hypermarket can usually be used by some consumers as a convenience store, substituting for a supermarket. Conversely, the reverse is almost never verified and is even less so as the size of the hypermarket in question is significant. Consequently, if the target store is a hypermarket, the analysis is conducted on a market comprising only hypermarkets, on the one hand, and on a market comprising supermarkets and equivalent forms of commerce (hypermarkets, hard discount, and popular stores) excluding small retail trade (less than 400 m²), on the other hand. If the target store is a supermarket, the analysis is conducted only on the second type of market mentioned above.  </w:t>
        <w:br/>
        <w:t>9. In this case, the business operated by the company ATAC, under the Auchan brand, occupies a surface area of 4,172 m² and therefore falls into the category of hypermarkets.</w:t>
      </w:r>
    </w:p>
    <w:p>
      <w:r>
        <w:rPr>
          <w:b/>
        </w:rPr>
        <w:t>[Pages 4–5]</w:t>
      </w:r>
    </w:p>
    <w:p>
      <w:r>
        <w:t xml:space="preserve">2. GEOGRAPHICAL DELIMITATION  </w:t>
        <w:br/>
        <w:t xml:space="preserve">10. In its recent decisions7 concerning operations involving hypermarkets or supermarkets, the Competition Authority has reiterated that two types of markets are usually distinguished, based on catchment areas:  </w:t>
        <w:br/>
        <w:t xml:space="preserve">- a first market where the demand of consumers from an area meets the supply of hypermarkets accessible to them within less than 30 minutes by car and which are, from their perspective, substitutable with each other;  </w:t>
        <w:br/>
        <w:t xml:space="preserve">- a second market where the demand of consumers meets the supply of supermarkets and equivalent forms of commerce, located within less than 15 minutes by car. These latter forms of commerce may include, in addition to supermarkets, hypermarkets located near consumers and discount stores.  </w:t>
        <w:br/>
        <w:t xml:space="preserve">11. Other criteria may nevertheless be taken into account to assess the impact of a concentration on the competitive situation in retail distribution markets, which may lead to refining, in the specific case, the usual delimitations presented above.  </w:t>
        <w:br/>
        <w:t xml:space="preserve">12. In the specific case, the target business falling into the category of hypermarkets, the competitive analysis will be conducted on a market including hypermarkets within a 30-minute radius around the retail outlet in Corbeil-Essonnes (91) and on a market including supermarkets and equivalent forms of commerce located within a 15-minute radius around the retail outlet in Corbeil-Essonnes (91).  </w:t>
        <w:br/>
        <w:t xml:space="preserve">B. UPSTREAM SUPPLY MARKETS  </w:t>
        <w:br/>
        <w:t xml:space="preserve">13. Regarding supply markets, the European Commission8 has recognized the existence of national markets by major product groups, a delimitation followed by national authorities9.  </w:t>
        <w:br/>
        <w:t xml:space="preserve">14. There is no need to challenge this delimitation in the context of the present operation.  </w:t>
        <w:br/>
        <w:t xml:space="preserve">III. Competitive Analysis  </w:t>
        <w:br/>
        <w:t xml:space="preserve">15. In the downstream market for food distribution, including hypermarkets within a 30-minute catchment area around the retail outlet in Corbeil-Essonnes, the target outlet represents [0-5]% of the sales areas. There are also nine other hypermarkets under the Intermarché brand in the Corbeil-Essonnes area, the brand representing a cumulative market share of [5-10]%. These stores face competition from fourteen hypermarkets under the Carrefour group brand ([40-50]% of the sales areas in the area), five hypermarkets under the Auchan group brand ([10-20]%). Also present are Leclerc ([10-20]%), Provera ([5-10]%), Casino ([0-5]%), O Marché Frais ([0-5]%), and Système U ([0-5]%).  </w:t>
        <w:br/>
        <w:t xml:space="preserve">16. In the downstream market for food distribution, including supermarkets and other equivalent forms of commerce, located within a 15-minute radius around the retail outlet in Corbeil-Essonnes, the target outlet represents [5-10]% of the sales areas and, following the operation, ITM will represent [10-20]% of the sales areas. In this area, these stores face competition from a large number of stores, notably under the Carrefour brand ([50-60]%), Casino ([5-10]%), and O Marché Frais ([5-10]%). Also present are Lidl ([5-10]%), Auchan ([0-5]%), Dia ([0-5]%), and Aldi ([0-5]%).  </w:t>
        <w:br/>
        <w:t xml:space="preserve">17. In the upstream supply markets, the operation, which only concerns the change of control of one store, is not likely to significantly strengthen the purchasing power of the ITM Entreprises group, across all products as well as by major product groups.  </w:t>
        <w:br/>
        <w:t xml:space="preserve">18. Consequently, the operation is not likely to harm competition in the markets concerned.  </w:t>
        <w:br/>
        <w:t xml:space="preserve">DECIDES  </w:t>
        <w:br/>
        <w:t xml:space="preserve">Sole Article: The operation notified under number 14-135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