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https://www.autoritedelaconcurrence.fr/fr/decision-de-controle-des-concentrations/relative-la-prise-de-controle-exclusif-dun-fonds-de-12</w:t>
      </w:r>
    </w:p>
    <w:p>
      <w:r>
        <w:t>Pages translated : 2</w:t>
      </w:r>
    </w:p>
    <w:p/>
    <w:p>
      <w:r>
        <w:rPr>
          <w:b/>
        </w:rPr>
        <w:t>[Pages 1–2]</w:t>
      </w:r>
    </w:p>
    <w:p>
      <w:r>
        <w:t xml:space="preserve">REPUBLIC OF FRANCE  </w:t>
        <w:br/>
        <w:t xml:space="preserve">Decision No. 14-DCC-52 of April 9, 2014  </w:t>
        <w:br/>
        <w:t xml:space="preserve">regarding the exclusive control acquisition of an automotive distribution business by Metin Holding  </w:t>
        <w:br/>
        <w:t xml:space="preserve">The Competition Authority,  </w:t>
        <w:br/>
        <w:t xml:space="preserve">Having regard to the complete notification file submitted to the mergers department on March 20, 2014, concerning the exclusive control acquisition by Metin Holding of a business from Zanetti Automobile, formalized by a memorandum of understanding dated February 26, 2014;  </w:t>
        <w:br/>
        <w:t xml:space="preserve">Having regard to Book IV of the Commercial Code relating to the freedom of prices and competition, and in particular its Articles L. 430-1 to L. 430-7;  </w:t>
        <w:br/>
        <w:t xml:space="preserve">Adopts the following decision:  </w:t>
        <w:br/>
        <w:t xml:space="preserve">1. The Metin group operates car dealerships under the brands Peugeot, Volkswagen, Audi, Seat, and Kia in Paris, in Seine-et-Marne (77), in Essonne (91), in Seine-St-Denis (93), and in Val-de-Marne (94). The notified operation consists of the exclusive control acquisition of an automotive distribution business under the brands Volkswagen and Skoda located in Maison-Alfort (94), by Metin Holding, from Zanetti Automobile. It constitutes a concentration operation within the meaning of Article L. 430-1 of the Commercial Code. Given the turnover achieved by the companies involved,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14-044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