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https://www.autoritedelaconcurrence.fr/fr/decision-de-controle-des-concentrations/relative-la-prise-de-controle-exclusif-dun-fonds-de-13</w:t>
      </w:r>
    </w:p>
    <w:p>
      <w:r>
        <w:t>Pages translated : 2</w:t>
      </w:r>
    </w:p>
    <w:p/>
    <w:p>
      <w:r>
        <w:rPr>
          <w:b/>
        </w:rPr>
        <w:t>[Pages 1–2]</w:t>
      </w:r>
    </w:p>
    <w:p>
      <w:r>
        <w:t xml:space="preserve">FRENCH REPUBLIC  </w:t>
        <w:br/>
        <w:t xml:space="preserve">Decision No. 15-DCC-24 of March 9, 2015  </w:t>
        <w:br/>
        <w:t xml:space="preserve">regarding the exclusive control acquisition of an automotive distribution business by the This group  </w:t>
        <w:br/>
        <w:t xml:space="preserve">The Competition Authority,  </w:t>
        <w:br/>
        <w:t xml:space="preserve">Having regard to the complete notification file submitted to the mergers department on February 16, 2015, concerning the exclusive control acquisition of an automotive distribution business by the This group, and formalized by a transfer agreement dated February 2, 2015;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an automotive distribution business belonging to the FDA group and distributing Citroën brand vehicles in Le Mans in the Sarthe department (72), by the This group, which is itself active in the automotive distribution sector in the departments of Maine-et-Loire (49) and Côtes d’Armor (22). It constitutes a concentration operation within the meaning of Article L. 430-1 of the Commercial Code. Given the turnover achieved by the companies concerned, the operation does not fall under the jurisdiction of the European Union. However, the control thresholds related to concentration operations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15-021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