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https://www.autoritedelaconcurrence.fr/fr/decision-de-controle-des-concentrations/relative-la-prise-de-controle-exclusif-dun-fonds-de-14</w:t>
      </w:r>
    </w:p>
    <w:p>
      <w:r>
        <w:t>Pages translated : 3</w:t>
      </w:r>
    </w:p>
    <w:p/>
    <w:p>
      <w:r>
        <w:rPr>
          <w:b/>
        </w:rPr>
        <w:t>[Pages 1–3]</w:t>
      </w:r>
    </w:p>
    <w:p>
      <w:r>
        <w:t xml:space="preserve">FRENCH REPUBLIC  </w:t>
        <w:br/>
        <w:t xml:space="preserve">Decision No. 15-DCC-31 of March 20, 2015  </w:t>
        <w:br/>
        <w:t xml:space="preserve">regarding the exclusive control of a business and certain asset elements of Sanofi Winthrop Industrie  </w:t>
        <w:br/>
        <w:t>(Sanofi Group) by the Delpharm Group</w:t>
      </w:r>
    </w:p>
    <w:p>
      <w:r>
        <w:t xml:space="preserve">The Competition Authority,  </w:t>
        <w:br/>
        <w:t xml:space="preserve">Having regard to the notification file submitted in full to the merger service on February 16, 2015, regarding the exclusive control of a business and certain asset elements of Sanofi Winthrop Industrie (Sanofi Group) by the Delpharm Group, formalized by a transfer agreement dated January 16, 2015;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Delpharm Holding is the parent company of the Delpharm Group (hereinafter, "Delpharm"). Delpharm is controlled by Financière Sébastien Aguettant, which is itself controlled by Mr. Sébastien Aguettant, who holds 58.14% of its capital. Delpharm is primarily active in the manufacturing of pharmaceutical products on behalf of its clients under subcontracting agreements. It operates nine production sites enabling the manufacture of solid, semi-solid, and liquid dosage forms. It is also active in the field of biotechnology and manufactures diagnostic devices intended for animal health. Finally, Delpharm engages in the development of pharmaceutical products.  </w:t>
        <w:br/>
        <w:t>2. The target of the operation is a business located in Quétigny specialized in the manufacture of liquid medications (injectables and aseptic) and dry forms. This site is currently owned and operated by Sanofi Winthrop Industrie, which is 100% owned by Sanofi Aventis Participations, itself 44.33% owned by Aventis Pharma SA and 55.67% by Sanofi.</w:t>
      </w:r>
    </w:p>
    <w:p>
      <w:r>
        <w:t xml:space="preserve">3. The operation consists of the acquisition by Delpharm of the Quétigny site and certain asset elements constituting a complete and autonomous business unit for the manufacturing and sale of pharmaceutical products. As it results in the exclusive control of the transferred assets at the Quétigny site by Delpharm, the notified operation constitutes a concentration within the meaning of Article L. 430-1 of the Commercial Code.  </w:t>
        <w:br/>
        <w:t>4. The companies concerned have together achieved a consolidated worldwide turnover excluding taxes of more than 150 million euros (Delpharm: 314.2 million euros for the fiscal year ending June 30, 2014; target assets: 63.1 million euros for the fiscal year ending December 31, 2013). Each of these companies has achieved, in France, a turnover exceeding 50 million euros (Delpharm: 172.8 million euros for the fiscal year ending June 30, 2014; target assets: 61.4 million euros for the fiscal year ending December 31, 2013). Given the turnover of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Both parties engage in contract manufacturing activities of pharmaceutical products. The decisional practice has identified a market for the contract manufacturing of finished pharmaceutical products consisting of the manufacture under a contract concluded with a third-party pharmaceutical laboratory of medications in the form of finished products.  </w:t>
        <w:br/>
        <w:t xml:space="preserve">6. The contract manufacturing of pharmaceutical products may include the final packaging of the product on behalf of a third-party pharmaceutical company. This third party may then market the finished products under its own label or brand. Such a market therefore excludes the manufacture of active pharmaceutical ingredients, as these active ingredients are generally not manufactured on a contractual basis and can be obtained from a wide variety of supply sources.  </w:t>
        <w:br/>
        <w:t xml:space="preserve">7. Several contract manufacturing markets can be defined, each market corresponding to the pharmaceutical form being manufactured as well as, in some cases, the manufacturing conditions (types of APIs involved in the process, toxicity, sterile environment, etc.).  </w:t>
        <w:br/>
        <w:t xml:space="preserve">8. In this case, the notifying party has provided an estimate of market shares in a global market for the contract manufacturing of pharmaceutical products as well as according to a possible segmentation by pharmaceutical form, namely solid, paste or semi-solid, and liquid. However, the question of the exact delimitation of the contract manufacturing markets for pharmaceutical products can be left open, as the conclusions of the competitive analysis remain unchanged regardless of the delimitations adopted.  </w:t>
        <w:br/>
        <w:t>1 See the decision of the Competition Authority No. 13-DCC-106 of August 6, 2013, regarding the exclusive control of Warner Chilcott plc by Actavis, Inc., as well as the decision of the European Commission COMP/M.5253 – Sanofi-Aventis/Zentiva of February 4, 2009.</w:t>
      </w:r>
    </w:p>
    <w:p>
      <w:r>
        <w:t xml:space="preserve">9. Geographically, national and European decisional practice considers that the market for the contract manufacturing of pharmaceutical products is at least European in scope, if not global.  </w:t>
        <w:br/>
        <w:t>10. There is no need to challenge this delimitation for the analysis of the effects of the present operation.</w:t>
      </w:r>
    </w:p>
    <w:p>
      <w:r>
        <w:t xml:space="preserve">III. Competitive analysis  </w:t>
        <w:br/>
        <w:t xml:space="preserve">11. In each of the considered segments of the European market for the contract manufacturing of pharmaceutical products, the target assets hold a market share of less than 1%. Delpharm represents less than 3% of the concerned markets, regardless of the segment considered. The market share of the new entity will therefore remain below 4% in the concerned markets.  </w:t>
        <w:br/>
        <w:t xml:space="preserve">12. The new entity will also continue to face competition from numerous operators such as Catalen PS, Favera, Aenova, Famar, Vetter, Recipharm, Aesica, Patheon, Unither, NextPharma, and Cenexi.  </w:t>
        <w:br/>
        <w:t>13. Therefore, the operation is not likely to harm competition in the concerned markets for the contract manufacturing of pharmaceutical products.</w:t>
      </w:r>
    </w:p>
    <w:p>
      <w:r>
        <w:t xml:space="preserve">DECIDES  </w:t>
        <w:br/>
        <w:t xml:space="preserve">Single Article: The notified operation under number 15-005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