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https://www.autoritedelaconcurrence.fr/fr/decision-de-controle-des-concentrations/relative-la-prise-de-controle-exclusif-dun-fonds-de-15</w:t>
      </w:r>
    </w:p>
    <w:p>
      <w:r>
        <w:t>Pages translated : 2</w:t>
      </w:r>
    </w:p>
    <w:p/>
    <w:p>
      <w:r>
        <w:rPr>
          <w:b/>
        </w:rPr>
        <w:t>[Pages 1–2]</w:t>
      </w:r>
    </w:p>
    <w:p>
      <w:r>
        <w:t xml:space="preserve">FRENCH REPUBLIC  </w:t>
        <w:br/>
        <w:t xml:space="preserve">Decision No. 15-DCC-43 of April 13, 2015  </w:t>
        <w:br/>
        <w:t>regarding the exclusive acquisition of control of an automobile distribution business by the company Sagas Automobile</w:t>
      </w:r>
    </w:p>
    <w:p>
      <w:r>
        <w:t>The Competition Authority,</w:t>
      </w:r>
    </w:p>
    <w:p>
      <w:r>
        <w:t>Having regard to the notification file sent to the mergers department on March 2, 2015, and declared complete on March 27, 2015, concerning the exclusive acquisition of control of an automobile distribution business by the company Sagas Automobile, and formalized by a business transfer agreement dated February 19, 2015;</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1. The notified operation consists of the exclusive acquisition of control of a Nissan brand automobile distribution business in Beauvais and Gouvieux in the Oise department (60), by the company Sagas Automobile, a subsidiary of the Gueudet group, active in the automobile distribution sector in Oise and several other departments. It constitutes a concentration operation within the meaning of Article L. 430-1 of the Commercial Code. Given the turnover achieved by the concerned companies, the operation does not fall under the jurisdiction of the European Union. However,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15-031 is authorized.  </w:t>
        <w:br/>
        <w:t xml:space="preserve">The Vice-President,  </w:t>
        <w:br/>
        <w:t xml:space="preserve">Thierry Dahan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