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https://www.autoritedelaconcurrence.fr/fr/decision-de-controle-des-concentrations/relative-la-prise-de-controle-exclusif-dun-fonds-de-16</w:t>
      </w:r>
    </w:p>
    <w:p>
      <w:r>
        <w:t>Pages translated : 2</w:t>
      </w:r>
    </w:p>
    <w:p/>
    <w:p>
      <w:r>
        <w:rPr>
          <w:b/>
        </w:rPr>
        <w:t>[Pages 1–2]</w:t>
      </w:r>
    </w:p>
    <w:p>
      <w:r>
        <w:t xml:space="preserve">FRENCH REPUBLIC  </w:t>
        <w:br/>
        <w:t xml:space="preserve">Decision No. 16-DCC-16 of February 10, 2016  </w:t>
        <w:br/>
        <w:t xml:space="preserve">regarding the exclusive control acquisition of an automobile distribution business by the Dubreuil group  </w:t>
        <w:br/>
        <w:t xml:space="preserve">The Competition Authority,  </w:t>
        <w:br/>
        <w:t xml:space="preserve">Having regard to the complete notification file submitted to the mergers department on January 12, 2016, concerning the exclusive control acquisition of an automobile distribution business by the Dubreuil group, formalized by a letter of intent dated October 23,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an automobile distribution business for Opel brand vehicles in the Ille et Vilaine department (35), by the Dubreuil group, which is itself active in the automobile distribution sector in the departments of Eure et Loire (28), Sarthe (72), Maine et Loire (49), Vendée (85), Deux-Sèvres (79), Charente-Maritime (17), Charente (16), Loire-Atlantique (44), and Ille et Vilaine (35). This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15-230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