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https://www.autoritedelaconcurrence.fr/fr/decision-de-controle-des-concentrations/relative-la-prise-de-controle-exclusif-dun-fonds-de-17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16-DCC-163 of October 28, 2016  </w:t>
        <w:br/>
        <w:t xml:space="preserve">regarding the exclusive control acquisition of a business operated  </w:t>
        <w:br/>
        <w:t>by the company Établissements Jacques Marinelli by the Conforama group</w:t>
      </w:r>
    </w:p>
    <w:p>
      <w:r>
        <w:t>The Competition Authority,</w:t>
      </w:r>
    </w:p>
    <w:p>
      <w:r>
        <w:t xml:space="preserve">Having regard to the complete notification file sent to the mergers department on October 4, 2016  </w:t>
        <w:br/>
        <w:t xml:space="preserve">concerning the acquisition of the premises and the business operated by the company Établissements  </w:t>
        <w:br/>
        <w:t>Jacques Marinelli by the Conforama group, formalized by a letter of intent dated September 27, 2016;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of the premises and the retail business  </w:t>
        <w:br/>
        <w:t xml:space="preserve">of furniture operated under the Conforama brand by the public limited company Établissements Jacques Marinelli  </w:t>
        <w:br/>
        <w:t xml:space="preserve">located in Melun (77) by the Conforama group. This operation constitutes a concentration operation within the meaning  </w:t>
        <w:br/>
        <w:t xml:space="preserve">of Article L. 430-1 of the Commercial Code. Given the turnover achieved by the concerned companies, the operation  </w:t>
        <w:br/>
        <w:t xml:space="preserve">does not fall under the jurisdiction of the European Union. On the other hand, the control thresholds related to  </w:t>
        <w:br/>
        <w:t xml:space="preserve">retail mentioned in point II of Article L. 430-2 of the Commercial Code are exceeded. This operation is therefore  </w:t>
        <w:br/>
        <w:t xml:space="preserve">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16-194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