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https://www.autoritedelaconcurrence.fr/fr/decision-de-controle-des-concentrations/relative-la-prise-de-controle-exclusif-dun-fonds-de-18</w:t>
      </w:r>
    </w:p>
    <w:p>
      <w:r>
        <w:t>Pages translated : 2</w:t>
      </w:r>
    </w:p>
    <w:p/>
    <w:p>
      <w:r>
        <w:rPr>
          <w:b/>
        </w:rPr>
        <w:t>[Pages 1–2]</w:t>
      </w:r>
    </w:p>
    <w:p>
      <w:r>
        <w:t xml:space="preserve">FRENCH REPUBLIC  </w:t>
        <w:br/>
        <w:t xml:space="preserve">Decision No. 16-DCC-195 of December 5, 2016  </w:t>
        <w:br/>
        <w:t>regarding the exclusive control acquisition of an automobile distribution business by Groupe Gueudet</w:t>
      </w:r>
    </w:p>
    <w:p>
      <w:r>
        <w:t>The Competition Authority,</w:t>
      </w:r>
    </w:p>
    <w:p>
      <w:r>
        <w:t>Having regard to the complete notification file submitted to the mergers department on October 31, 2016, concerning the exclusive control acquisition of an automobile distribution business by Groupe Gueudet, formalized by a memorandum of understanding dated October 25, 2016;</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an automobile distribution business of the BMW-Mini brand located in Beauvais (60) by Groupe Gueudet. This operation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16-229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