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https://www.autoritedelaconcurrence.fr/fr/decision-de-controle-des-concentrations/relative-la-prise-de-controle-exclusif-dun-fonds-de-19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18-DCC-68 of April 26, 2018  </w:t>
        <w:br/>
        <w:t xml:space="preserve">regarding the exclusive control acquisition of a business unit of the  </w:t>
        <w:br/>
        <w:t xml:space="preserve">company FCA Motor Village France SAS by the company  </w:t>
        <w:br/>
        <w:t xml:space="preserve">Dauphine 27 SAS  </w:t>
        <w:br/>
        <w:t xml:space="preserve">The Competition Authority,  </w:t>
        <w:br/>
        <w:t xml:space="preserve">Having regard to the complete notification file submitted to the mergers department on March 28, 2018,  </w:t>
        <w:br/>
        <w:t xml:space="preserve">concerning the exclusive control acquisition of a business unit of the company FCA Motor Village  </w:t>
        <w:br/>
        <w:t xml:space="preserve">France SAS by the company Dauphine 27 SAS, and formalized by a letter of intent dated February 13,  </w:t>
        <w:br/>
        <w:t xml:space="preserve">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Dauphine 27 SAS  </w:t>
        <w:br/>
        <w:t xml:space="preserve">of a car dealership for the brands Fiat, Alfa Romeo, Abarth, and Jeep owned by the  </w:t>
        <w:br/>
        <w:t xml:space="preserve">company FCA Motor Village France SAS and located in the department of Loire-Atlantique  </w:t>
        <w:br/>
        <w:t xml:space="preserve">(44). It constitutes a concentration operation within the meaning of Article L. 430-1 of the Commercial  </w:t>
        <w:br/>
        <w:t xml:space="preserve">Code. Given the turnover generated by the companies involved, the operation does not fall under the  </w:t>
        <w:br/>
        <w:t xml:space="preserve">jurisdiction of the European Union. However, the control thresholds related to retail trade mentioned in  </w:t>
        <w:br/>
        <w:t xml:space="preserve">point II of Article L. 430-2 of the Commercial Code are exceeded. This operation is therefore subject to  </w:t>
        <w:br/>
        <w:t xml:space="preserve">the 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18-037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