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https://www.autoritedelaconcurrence.fr/fr/decision-de-controle-des-concentrations/relative-la-prise-de-controle-exclusif-dun-fonds-de-2</w:t>
      </w:r>
    </w:p>
    <w:p>
      <w:r>
        <w:t>Pages translated : 2</w:t>
      </w:r>
    </w:p>
    <w:p/>
    <w:p>
      <w:r>
        <w:rPr>
          <w:b/>
        </w:rPr>
        <w:t>[Pages 1–2]</w:t>
      </w:r>
    </w:p>
    <w:p>
      <w:r>
        <w:t xml:space="preserve">FRENCH REPUBLIC  </w:t>
        <w:br/>
        <w:t xml:space="preserve">Decision No. 12-DCC-25 of February 23, 2012  </w:t>
        <w:br/>
        <w:t xml:space="preserve">regarding the exclusive acquisition of control of an automobile business by the company Groupe David Gerbier  </w:t>
        <w:br/>
        <w:t xml:space="preserve">The Competition Authority,  </w:t>
        <w:br/>
        <w:t xml:space="preserve">Having regard to the complete notification file sent to the mergers department on February 3, 2012, concerning the exclusive acquisition of control of an automobile business, named "Grands Garages Pyrénéens," from the Société Commerciale Automobile, by the company Groupe David Gerbier;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acquisition of control of a business, named "Grands Garages Pyrénéens," operating a Peugeot brand automobile dealership in the city of Perpignan (66), by the company Groupe David Gerbier, which operates automobile dealerships in the regions of Aquitaine, Limousin, Lorraine, and Rhône-Alpes. It constitutes a concentration operation within the meaning of Article L. 430-1 of the Commercial Code. Given the turnover achieved by the companies concerned, the operation does not have a community dimension. On the other hand,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12-014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