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https://www.autoritedelaconcurrence.fr/fr/decision-de-controle-des-concentrations/relative-la-prise-de-controle-exclusif-dun-fonds-de-20</w:t>
      </w:r>
    </w:p>
    <w:p>
      <w:r>
        <w:t>Pages translated : 2</w:t>
      </w:r>
    </w:p>
    <w:p/>
    <w:p>
      <w:r>
        <w:rPr>
          <w:b/>
        </w:rPr>
        <w:t>[Pages 1–2]</w:t>
      </w:r>
    </w:p>
    <w:p>
      <w:r>
        <w:t xml:space="preserve">FRENCH REPUBLIC  </w:t>
        <w:br/>
        <w:t xml:space="preserve">Decision No. 18-DCC-77 of May 18, 2018  </w:t>
        <w:br/>
        <w:t xml:space="preserve">regarding the exclusive control acquisition of an automobile distribution business by the company DMD  </w:t>
        <w:br/>
        <w:t xml:space="preserve">The Competition Authority,  </w:t>
        <w:br/>
        <w:t xml:space="preserve">Having regard to the notification file sent to the mergers department on February 23, 2018, declared complete on May 2, 2018, concerning the exclusive control acquisition of an automobile distribution business by the company DMD, formalized by a takeover offer dated February 15, 2018, and the judgment of the Commercial Court of Saint Brieuc dated March 12,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Contact Automobile, a subsidiary of the company DMD, of the exclusive control of a business for the distribution and repair of motor vehicles under the Ford brand in Côtes d’Armor (22).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18-040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