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https://www.autoritedelaconcurrence.fr/fr/decision-de-controle-des-concentrations/relative-la-prise-de-controle-exclusif-dun-fonds-de-21</w:t>
      </w:r>
    </w:p>
    <w:p>
      <w:r>
        <w:t>Pages translated : 6</w:t>
      </w:r>
    </w:p>
    <w:p/>
    <w:p>
      <w:r>
        <w:rPr>
          <w:b/>
        </w:rPr>
        <w:t>[Pages 1–3]</w:t>
      </w:r>
    </w:p>
    <w:p>
      <w:r>
        <w:t>FRENCH REPUBLIC</w:t>
        <w:br/>
        <w:t>Decision No. 19-DCC-06 of January 11, 2019</w:t>
        <w:br/>
        <w:t>regarding the exclusive control of a business operated</w:t>
        <w:br/>
        <w:t>by the company Magasins Galeries Lafayette by the company Monoprix</w:t>
        <w:br/>
        <w:t>Exploitation</w:t>
        <w:br/>
        <w:t>The Competition Authority,</w:t>
        <w:br/>
        <w:t>Having regard to the notification file submitted in full to the merger service on December 17, 2018, regarding the exclusive control of a business operated by the company Magasins Galeries Lafayette by the company Monoprix Exploitation, formalized by a business transfer agreement dated November 19, 2018;</w:t>
      </w:r>
    </w:p>
    <w:p>
      <w:r>
        <w:t>Having regard to Book IV of the Commercial Code relating to price freedom and competition, and in particular its Articles L. 430-1 to L. 430-7;</w:t>
      </w:r>
    </w:p>
    <w:p>
      <w:r>
        <w:t>Adopts the following decision:</w:t>
        <w:br/>
        <w:t>I. The companies concerned and the operation</w:t>
        <w:br/>
        <w:t>1. Monoprix Exploitation SAS is a subsidiary of the Monoprix group (hereinafter, together, "Monoprix"), a French group active in the food-dominant retail distribution sector. Monoprix operates six brands (Monoprix, Monop’, Monop’daily, Monop’beauty, Monop’station, and Naturalia), through more than 640 stores, and 3 online sales sites (including monoprix.fr and sarenza.com). Monoprix is controlled by the company Casino, Guichard-Perrachon SA, which heads the Casino group. The Casino group is active in the food-dominant distribution sector and operates a network of more than 9,000 stores in France (hypermarkets, supermarkets, convenience stores, discount stores), notably under the brands Franprix, Géant Casino, Casino Supermarché, Petit Casino, Monoprix, and Leader Price. It is also present in the online sale of non-food products via the site Cdiscount.com. The Casino group is ultimately controlled by the company Euris, which is itself controlled by Mr. Jean-Charles Naouri.</w:t>
      </w:r>
    </w:p>
    <w:p>
      <w:r>
        <w:t>2. The target business is a retail outlet with a food dominance under the Lafayette Gourmet brand, located in the CAP 3 000 shopping center in Saint-Laurent-du-Var (06) (hereinafter, "the target store"). It is directly owned by the company Magasins Galeries Lafayette, a subsidiary of the Galeries Lafayette group.</w:t>
      </w:r>
    </w:p>
    <w:p>
      <w:r>
        <w:t>3. The transaction, formalized by a transfer agreement dated November 19, 2018, involves the acquisition by Monoprix of this business, held in full and complete ownership by the company Magasins Galeries Lafayette, with the intention of operating it under the Monoprix brand.</w:t>
      </w:r>
    </w:p>
    <w:p>
      <w:r>
        <w:t>4. As it results in Monoprix taking exclusive control of the target store, the notified transaction constitutes a concentration within the meaning of Article L. 430-1 of the Commercial Code.</w:t>
      </w:r>
    </w:p>
    <w:p>
      <w:r>
        <w:t>5. The companies concerned together achieve a total worldwide turnover excluding taxes of more than 75 million euros (Casino: 37.8 billion euros for the last fiscal year ending December 31, 2017; target store: [≤ 75] million euros for the same fiscal year). Each of these companies has achieved in France a turnover exceeding 15 million euros in the retail sector (Casino: 18.9 billion euros for the last fiscal year ending December 31, 2017; target store: [≥ 15] million euros for the same fiscal year). Given these turnover figures, the transaction does not fall under the jurisdiction of the European Union. However, the control thresholds related to retail mentioned in II of Article L. 430-2 of the Commercial Code are exceeded. This transaction is therefore subject to the provisions of Articles L. 430-3 and following of the Commercial Code relating to economic concentration.</w:t>
      </w:r>
    </w:p>
    <w:p>
      <w:r>
        <w:t>II. Delimitation of relevant markets</w:t>
        <w:br/>
        <w:t>6. According to the consistent practice of competition authorities, two categories of markets can be delineated in the food-dominant distribution sector1: the "upstream" markets for the supply of consumer goods and the "downstream" markets for food-dominant retail distribution.</w:t>
      </w:r>
    </w:p>
    <w:p>
      <w:r>
        <w:t>A. UPSTREAM MARKETS OF SUPPLY</w:t>
        <w:br/>
        <w:t>7. Regarding the upstream supply markets, the European Commission2 has adopted segmentations by major product groups and distribution channels, as well as a national dimension for each market. This delimitation is also followed by national competition authorities3.</w:t>
      </w:r>
    </w:p>
    <w:p>
      <w:r>
        <w:t>8. There is no need to challenge this delimitation in the context of the present transaction.</w:t>
        <w:br/>
        <w:t>1 See, for example, the decisions of the European Commission M.946 Intermarché/Spar of June 30, 1997, M.991 Promodès/Casino of October 30, 1997, and M.1684 Carrefour/Promodès of January 25, 2000. See also the ministerial order of July 5, 2000 in the Carrefour/Promodès transaction, the opinions of the Competition Council No. 97-A-14 of July 1, 1997, in the Carrefour/Cora case, No. 98-A-06 of May 5, 1998, in the Casino Franprix/Leader Price case, and No. 00-A-06 of May 3, 2000, in the Carrefour/Promodès case. See also the decisions of the Competition Authority No. 13-DCC-90 of July 11, 2013, regarding the exclusive control of the company Monoprix by the company Casino Guichard-Perrachon and No. 14-DCC-173 of November 21, 2014, regarding the exclusive control of the company Dia France SAS by the company Carrefour France SAS.</w:t>
        <w:br/>
        <w:t>2 See, for example, the aforementioned decision of the European Commission M.1684.</w:t>
        <w:br/>
        <w:t>3 Letters from the Minister responsible for the economy C2008-32 Amidis SAGC of July 9, 2008, C2007-172 Carrefour Plane Plamidis, of February 13, 2008, C2007-154 Système U Vergali of December 3, 2007, C2007-05 Carrefour Sofodis of March 26, 2007, and C2006-15 Amidis Hamon of April 14, 2006.</w:t>
      </w:r>
    </w:p>
    <w:p>
      <w:r>
        <w:t>B. DOWNSTREAM MARKETS OF DISTRIBUTION</w:t>
        <w:br/>
        <w:t>1. SERVICE MARKETS</w:t>
        <w:br/>
        <w:t>9. In the field of food-dominant distribution, the decision-making practice of competition authorities distinguishes between so-called "generalist" stores (a), so-called "popular" outlets with a more specific assortment (b), and specialized food retail forms (c).</w:t>
      </w:r>
    </w:p>
    <w:p>
      <w:r>
        <w:t>a) Generalist stores with a food dominance</w:t>
        <w:br/>
        <w:t>10. Competition authorities4 have distinguished six categories of commerce by using several criteria, notably the size of the stores, their sales techniques, their accessibility, the nature of the service provided, and the breadth of the product ranges offered: (i) hypermarkets, (ii) supermarkets, (iii) specialized trade, (iv) small retail trade, (v) maxi discounters, and (vi) mail order.</w:t>
      </w:r>
    </w:p>
    <w:p>
      <w:r>
        <w:t>11. Hypermarkets are usually defined as stores with a sales area equal to or greater than 2,500 m², while supermarkets are defined as stores with a sales area of less than 2,500 m² and greater than 400 m².</w:t>
      </w:r>
    </w:p>
    <w:p>
      <w:r>
        <w:t>12. These thresholds are, however, used with caution: they may be adapted to the specific case when stores whose area is close to a threshold, either below or above, are likely to be in direct competition5.</w:t>
      </w:r>
    </w:p>
    <w:p>
      <w:r>
        <w:t>13. Competition authorities also consider that, while each category of store retains its specificity, there is asymmetric competition between certain of these categories. Indeed, a hypermarket may typically be used by some consumers as a convenience store, substituting for a supermarket. Conversely, the reverse is almost never verified, and it is even less so as the size of the hypermarket in question is large. Consequently, they distinguish (i) a market comprising only hypermarkets and (ii) a market comprising supermarkets and equivalent forms of commerce (hypermarkets, hard-discount, and popular stores) excluding small retail trade (less than 400 m²)6.</w:t>
      </w:r>
    </w:p>
    <w:p>
      <w:r>
        <w:t>14. There is no need to challenge these delimitations in the context of the present transaction.</w:t>
      </w:r>
    </w:p>
    <w:p>
      <w:r>
        <w:t>b) Popular stores</w:t>
        <w:br/>
        <w:t>15. So-called "popular" stores are characterized by a richer non-food assortment (notably textiles and beauty products) than supermarkets. The stores under the Monoprix brand currently represent the bulk of this category.</w:t>
        <w:br/>
        <w:t>4 See, for example, the decision of the Competition Authority No. 14-DCC-66 of May 30, 2014, regarding the acquisition of three food distribution businesses by the SAFO-GHD group and the aforementioned decision No. 13-DCC-90.</w:t>
        <w:br/>
        <w:t>5 See the aforementioned decision No. 13-DCC-90.</w:t>
        <w:br/>
        <w:t>6 See the decisions of the Competition Authority No. 12-DCC-48 of April 6, 2012, regarding the exclusive control of the company Sofides by the company ITM Entreprises, No. 12-DCC-63 of May 9, 2012, regarding the exclusive control of the company Guyenne et Gascogne SA by the company Carrefour SA, and No. 13-DCC-90 of July 11, 2013, aforementioned.</w:t>
      </w:r>
    </w:p>
    <w:p>
      <w:r>
        <w:rPr>
          <w:b/>
        </w:rPr>
        <w:t>[Pages 4–6]</w:t>
      </w:r>
    </w:p>
    <w:p>
      <w:r>
        <w:t>16. In the Carrefour/Monoprix decision7, the Competition Authority questioned the area to be considered for the calculation of market shares of popular stores. While leaving the question open, it conducted a competitive analysis outside of Paris by considering the total area of these stores, a choice which nevertheless had no impact on the results of the competitive analysis.</w:t>
      </w:r>
    </w:p>
    <w:p>
      <w:r>
        <w:t>17. In this case, the target store will be operated under the Monoprix brand and will have a total area of 2,532 m2 and a food sales area of 2,232 m2. By taking into account the total area, the target store would fall into the category of hypermarkets, whereas by considering only the food sales area, it would fall into the category of supermarkets.</w:t>
      </w:r>
    </w:p>
    <w:p>
      <w:r>
        <w:t>18. In any event, since the conclusions of the competitive analysis are similar whether considering the total area or the food area of the target store, the question of the type of area to be taken into account for Monoprix stores can be left open. The competitive analysis will therefore be conducted by alternatively considering both areas for the target store.</w:t>
      </w:r>
    </w:p>
    <w:p>
      <w:r>
        <w:t>c) Other forms of food retail</w:t>
        <w:br/>
        <w:t>19. The decision-making practice has excluded from the market of food-dominant retail all forms of specialized trade to the extent that competition from specialized stores only exerts influence over a small part of the assortment of generalist food stores. Indeed, even when sourcing from all available specialized stores within a catchment area, it is difficult, if not impossible, for a consumer to replicate the complete assortment of a basket of everyday consumer products, similar to that obtained in a convenience store or supermarket. The competitive relationship between generalist food stores, for certain parts of their assortment, and specialized stores can therefore only be limited8.</w:t>
      </w:r>
    </w:p>
    <w:p>
      <w:r>
        <w:t>20. There is no reason to challenge the analysis that excludes other forms of specialized trade from the market of food-dominant retail in the context of the present operation.</w:t>
      </w:r>
    </w:p>
    <w:p>
      <w:r>
        <w:t>2. GEOGRAPHICAL MARKETS</w:t>
        <w:br/>
        <w:t>21. Competition authorities have examined the effects of concentrations in the food-dominant retail sector in local markets, corresponding to the catchment area associated with each store, the extent of which is determined by travel time and the location of the relevant point of sale.</w:t>
      </w:r>
    </w:p>
    <w:p>
      <w:r>
        <w:t>22. Regarding hypermarkets, the Competition Authority emphasized that competitive conditions are generally assessed over two different areas:</w:t>
        <w:br/>
        <w:t>- a first market where the demand from consumers in an area meets the supply of hypermarkets that they can access within 30 minutes of travel by car and which are, from their perspective, substitutable for one another, and</w:t>
        <w:br/>
        <w:t>7 Decision n° 13-DCC-90, cited above.</w:t>
        <w:br/>
        <w:t>8 See decisions n° 14-DCC-173 and n° 13-DCC-90, cited above.</w:t>
      </w:r>
    </w:p>
    <w:p>
      <w:r>
        <w:t>- a second market where the demand from consumers meets the supply of supermarkets and equivalent forms of trade located within 15 minutes of travel time by car. These latter forms of trade may include, in addition to supermarkets, hypermarkets located close to consumers and discount stores9.</w:t>
      </w:r>
    </w:p>
    <w:p>
      <w:r>
        <w:t>23. The Competition Authority also considers that the competitive analysis only pertains to the second market when the target store is a supermarket10.</w:t>
      </w:r>
    </w:p>
    <w:p>
      <w:r>
        <w:t>24. In this case, the competitive analysis will be conducted: (i) on both markets by taking into account the total area of the target store of 2,532 m2, and then (ii) on the second market by taking into account the food area of 2,232 m2 of the target store.</w:t>
      </w:r>
    </w:p>
    <w:p>
      <w:r>
        <w:t>III. Competitive Analysis</w:t>
        <w:br/>
        <w:t>A. UPSTREAM SUPPLY MARKETS</w:t>
        <w:br/>
        <w:t>25. In the upstream supply markets for food-dominant products, to the extent that the operation concerns the acquisition of a single point of sale, the present operation is not likely to significantly strengthen the purchasing power of the Casino group, across all products, whether by major product groups or by distribution channels.</w:t>
      </w:r>
    </w:p>
    <w:p>
      <w:r>
        <w:t>26. Consequently, the operation is not likely to harm competition in the upstream supply markets.</w:t>
      </w:r>
    </w:p>
    <w:p>
      <w:r>
        <w:t>B. DOWNSTREAM DISTRIBUTION MARKETS</w:t>
        <w:br/>
        <w:t>i) On the first market (hypermarkets)</w:t>
        <w:br/>
        <w:t>27. In the market comprising hypermarkets located within a catchment area defined by a travel time of 30 minutes by car from the target store, the market share of the new entity will remain below 25%.</w:t>
      </w:r>
    </w:p>
    <w:p>
      <w:r>
        <w:t>ii) On the second market (supermarkets and other equivalent forms of trade)</w:t>
        <w:br/>
        <w:t>28. In the market comprising supermarkets and equivalent forms of trade located within a catchment area defined by a travel time of 15 minutes by car from the target store, the points of sale under the Casino brand represent, according to the area considered in the analysis for the target store, [20-30]% or [20-30]% of the sales areas, and the target store represents [0-5]% or [0-5]% of the sales areas. Following the operation, the cumulative market share of the Casino group will therefore be approximately [20-30]% in both cases. In this area, the Casino group will face competition from several competing brands holding together more than two-thirds of the points of sale, including Carrefour (approximately [20-30]%), Intermarché (approximately [10-20]%), Leclerc (approximately [10-20]%), Super U (approximately [5-10%]) and Lidl ([5-10]%).</w:t>
      </w:r>
    </w:p>
    <w:p>
      <w:r>
        <w:t>29. Given the above, the operation is not likely to harm competition in the downstream food-dominant distribution markets.</w:t>
      </w:r>
    </w:p>
    <w:p>
      <w:r>
        <w:t>DECIDES</w:t>
        <w:br/>
        <w:t>Single Article: The operation notified under number 18-272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