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https://www.autoritedelaconcurrence.fr/fr/decision-de-controle-des-concentrations/relative-la-prise-de-controle-exclusif-dun-fonds-de-22</w:t>
      </w:r>
    </w:p>
    <w:p>
      <w:r>
        <w:t>Pages translated : 2</w:t>
      </w:r>
    </w:p>
    <w:p/>
    <w:p>
      <w:r>
        <w:rPr>
          <w:b/>
        </w:rPr>
        <w:t>[Pages 1–2]</w:t>
      </w:r>
    </w:p>
    <w:p>
      <w:r>
        <w:t xml:space="preserve">FRENCH REPUBLIC  </w:t>
        <w:br/>
        <w:t xml:space="preserve">Decision No. 20-DCC-01 of January 10, 2020  </w:t>
        <w:br/>
        <w:t xml:space="preserve">regarding the exclusive acquisition of a business by the company SPAA from the company Garage du Centre  </w:t>
        <w:br/>
        <w:t xml:space="preserve">The Competition Authority,  </w:t>
        <w:br/>
        <w:t xml:space="preserve">Having regard to the notification file, submitted complete to the mergers department on December 17, 2019, concerning the exclusive acquisition by the company SPAA of a business operated by the company Garage du Centre, formalized by a letter of intent dated November 22, 2019.  </w:t>
        <w:br/>
        <w:t xml:space="preserve">Having regard to Book IV of the Commercial Code relating to the freedom of prices and competition, and in particular its Articles L. 430-1 to L. 430-7;  </w:t>
        <w:br/>
        <w:t xml:space="preserve">Having regard to the elements submitted during the investigation by the notifying party;  </w:t>
        <w:br/>
        <w:t xml:space="preserve">Adopts the following decision:  </w:t>
        <w:br/>
        <w:t xml:space="preserve">1. The notified operation consists of the exclusive acquisition of control by the company SPAA of a car dealership business under the brands Toyota in Valence (26) and Chatuzange-le-Goubet (26), operated by the company Garage du Centre. This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 Correction of material error</w:t>
      </w:r>
    </w:p>
    <w:p>
      <w:r>
        <w:t xml:space="preserve">DECIDES  </w:t>
        <w:br/>
        <w:t xml:space="preserve">Sole Article: The operation notified under number 19-318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