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https://www.autoritedelaconcurrence.fr/fr/decision-de-controle-des-concentrations/relative-la-prise-de-controle-exclusif-dun-fonds-de-23</w:t>
      </w:r>
    </w:p>
    <w:p>
      <w:r>
        <w:t>Pages translated : 7</w:t>
      </w:r>
    </w:p>
    <w:p/>
    <w:p>
      <w:r>
        <w:rPr>
          <w:b/>
        </w:rPr>
        <w:t>[Pages 1–3]</w:t>
      </w:r>
    </w:p>
    <w:p>
      <w:r>
        <w:t xml:space="preserve">FRENCH REPUBLIC  </w:t>
        <w:br/>
        <w:t xml:space="preserve">Decision No. 19-DCC-72 of April 17, 2019  </w:t>
        <w:br/>
        <w:t>regarding the exclusive control of a food-dominated business asset by the company ITM* Alimentaire International</w:t>
      </w:r>
    </w:p>
    <w:p>
      <w:r>
        <w:t xml:space="preserve">The Competition Authority,  </w:t>
        <w:br/>
        <w:t xml:space="preserve">Having regard to the notification file submitted in full to the merger service on March 13, 2019, regarding the exclusive control by the company ITM* Alimentaire International of a business asset, formalized by a purchase promise dated February 27, 2019;  </w:t>
        <w:br/>
        <w:t xml:space="preserve">Having regard to Book IV of the Commercial Code relating to price freedom and competition, and in particular its Articles L. 430-1 to L. 430-7;  </w:t>
        <w:br/>
        <w:t>Adopts the following decision:</w:t>
      </w:r>
    </w:p>
    <w:p>
      <w:r>
        <w:t xml:space="preserve">I. The concerned companies and the operation  </w:t>
        <w:br/>
        <w:t xml:space="preserve">1. ITM* Alimentaire International is a simplified joint-stock company, wholly owned by the company ITM Entreprises, which is itself controlled by the company Société civile des Mousquetaires. The latter is controlled by the company Les Mousquetaires, which is owned by 1,498 individuals ("associated members") and the association l’Union des Mousquetaires. These various companies supply and animate the network of independent merchants (hereinafter "the Mousquetaires group"). The Mousquetaires group operates various brands, such as Intermarché, Netto, Poivre Rouge, Bricomarché, Bricorama, Bricocash, Batkor, Roady, Rapid Pare-Brise, and American Car Wash.  </w:t>
        <w:br/>
        <w:t xml:space="preserve">2. The target asset consists of a food-dominated retail business of hypermarket type with a surface area of 6,582 m², currently operated under the Géant Casino brand and located in Montauban (82). This hypermarket is controlled by the companies Distribution Casino France and Floréal.  </w:t>
        <w:br/>
        <w:t xml:space="preserve">* Correction of material error.  </w:t>
        <w:br/>
        <w:t>1 The acquisition of the target asset is also accompanied by the control of an ancillary fuel distribution business located near the hypermarket.</w:t>
      </w:r>
    </w:p>
    <w:p>
      <w:r>
        <w:t xml:space="preserve">3. Insofar as the operation involves the acquisition of all ownership titles of the business assets by the company Intermarché Alimentaire International, it constitutes a concentration within the meaning of Article L. 430-1 of the Commercial Code.  </w:t>
        <w:br/>
        <w:t xml:space="preserve">4. Concurrently with this notification, the company ITM* Alimentaire International has notified the acquisition of another food-dominated business asset, located in Nevers (58) and controlled by the same seller. This notification has been registered under file number 19-081.  </w:t>
        <w:br/>
        <w:t xml:space="preserve">5. These two transactions are not interdependent, but they are analyzed as two successive transactions, within the meaning of Article 5, paragraph 2, of Regulation (EC) No 139/2004, "two or more transactions within the meaning of the first paragraph which have occurred within a period of two years between the same persons or companies are to be considered as a single concentration occurring at the date of the last transaction." This decision takes into account the operation notified under file number 19-081.  </w:t>
        <w:br/>
        <w:t>6. The concerned companies together achieve a total turnover excluding taxes worldwide of more than 75 million euros (ITM Entreprises: [≥ 75 million] euros for the last financial year ended December 31, 2017; target assets: [≤ 75 million] euros for the last financial year ended December 31, 2018). Each of these companies has achieved a turnover exceeding 15 million euros (ITM Entreprises: [≥ 15 million] euros for the last financial year ended December 31, 2017; target assets: [≥ 15 million] euros for the last financial year ended December 31, 2018). Given the turnover achieved by the concerned companies, the operation does not fall under the jurisdiction of the European Union. However, the thresholds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7. The parties are primarily active in the markets for food-dominated retail distribution.  </w:t>
        <w:br/>
        <w:t xml:space="preserve">8. According to the consistent decision-making practice of competition authorities, two categories of markets are delineated in this sector. These are, on the one hand, the "upstream" markets for supplying retail companies with everyday consumer goods and, on the other hand, the "downstream" markets for food-dominated retail distribution.  </w:t>
        <w:br/>
        <w:t xml:space="preserve">* Correction of material error.  </w:t>
        <w:br/>
        <w:t xml:space="preserve">2 Regulation (EC) No 139/2004 of the Council of January 20, 2004, on the control of concentrations between companies.  </w:t>
        <w:br/>
        <w:t xml:space="preserve">3 When, as is the case here, the first of the two successive transactions is notifiable, it nevertheless commonly leads to a decision.  </w:t>
        <w:br/>
        <w:t xml:space="preserve">4 They are also active in a subsidiary manner in the retail distribution of fuel, a market on which the operation is not likely to harm competition.  </w:t>
        <w:br/>
        <w:t>5 See in particular the decisions of the European Commission COMP/M.1684 of January 25, 2000, Carrefour/Promodès, and COMP/M.5112 of July 3, 2008, Rewe Plus/Discount, the opinions of the Competition Council No. 97-A-14 of July 1, 1997, regarding the participation of the company Carrefour in the capital of the company Grands Magasins B (GMB), No. 98-A-06 of May 5, 1998, regarding the acquisition by the company Casino-Guichard-Perrachon of the company TLC Béatrice Holdings France SA (brands Franprix-Leader Price), and No. 00-A-06 of May 3, 2000, regarding the acquisition by the company Carrefour of the company Promodès. See, more recently, the decisions of the Competition Authority No. 13-DCC-90 of July 11, 2013, regarding the exclusive control of the company Monoprix by the company Casino Guichard-Perrachon, and No. 17-DCC-11 of January 30, 2017, regarding the control of Colruyt France SAS by Metro AG.</w:t>
      </w:r>
    </w:p>
    <w:p>
      <w:r>
        <w:t xml:space="preserve">A. UPSTREAM SUPPLY MARKETS  </w:t>
        <w:br/>
        <w:t xml:space="preserve">1. PRODUCT MARKETS  </w:t>
        <w:br/>
        <w:t xml:space="preserve">9. In the food-dominated retail distribution sector, companies are present as buyers in the upstream supply markets, which include the sale of everyday consumer goods by producers to clients such as wholesalers, retailers (large food retail stores, hereinafter "GSA", and large specialized retail stores, hereinafter "GSS"), or other businesses (for example, cafes/hotels/restaurants).  </w:t>
        <w:br/>
        <w:t xml:space="preserve">10. Competition authorities typically distinguish as many markets as there are families or groups of products. The following categories have thus been distinguished:  </w:t>
        <w:br/>
        <w:t xml:space="preserve">− consumer goods: (1) liquids, (2) drugstore, (3) perfumery and hygiene, (4) dry grocery, (5) parapharmacy, (6) perishable goods in self-service;  </w:t>
        <w:br/>
        <w:t xml:space="preserve">− traditional fresh: (7) delicatessen, (8) fishmonger, (9) fruits and vegetables, (10) fresh bread and pastry, (11) butcher;  </w:t>
        <w:br/>
        <w:t xml:space="preserve">− bazaar: (12) DIY, (13) home, (14) culture, (15) toys, leisure and relaxation, (16) garden, (17) automotive;  </w:t>
        <w:br/>
        <w:t xml:space="preserve">− household appliances, photo, cinema and sound: (18) large household appliances, (19) small household appliances, (20) photo and cinema, (21) hi-fi and sound, (22) TV and video;  </w:t>
        <w:br/>
        <w:t xml:space="preserve">− textiles: (23) textiles and shoes.  </w:t>
        <w:br/>
        <w:t xml:space="preserve">11. The European Commission has also considered segmentation based on distribution channels. In its decision Carrefour/Promodès, it notes that "there are serious indications to suggest that certain supply markets can also be defined based on distribution channels, such that the supply of the food-dominated retail sector could constitute an autonomous market." The Competition Authority has also identified a distinct market for supplying food products intended for GSAs.  </w:t>
        <w:br/>
        <w:t xml:space="preserve">12. Furthermore, within this channel, the Competition Authority has considered a sub-segmentation based on the commercial positioning of the product (manufacturer brand or "MDF", distributor brand or "MDD").  </w:t>
        <w:br/>
        <w:t>13. In this case, the parties are simultaneously active as buyers for the supply of their GSAs.</w:t>
      </w:r>
    </w:p>
    <w:p>
      <w:r>
        <w:rPr>
          <w:b/>
        </w:rPr>
        <w:t>[Pages 4–6]</w:t>
      </w:r>
    </w:p>
    <w:p>
      <w:r>
        <w:t xml:space="preserve">a) Geographic Markets  </w:t>
        <w:br/>
        <w:t xml:space="preserve">14. Competition authorities consider that the geographic delimitation of supply markets is essentially national, while not excluding that, for certain categories of products, the market dimension may, in part, be narrower.  </w:t>
        <w:br/>
        <w:t>15. In this case, the analysis will be conducted at the national level.</w:t>
      </w:r>
    </w:p>
    <w:p>
      <w:r>
        <w:t xml:space="preserve">B. DOWNSTREAM MARKETS FOR FOOD-ORIENTED RETAIL DISTRIBUTION  </w:t>
        <w:br/>
        <w:t xml:space="preserve">1. PRODUCT MARKETS  </w:t>
        <w:br/>
        <w:t xml:space="preserve">16. The Competition Authority has distinguished six categories of commerce using several criteria, including store size, sales techniques, accessibility, the nature of the service provided, and the range of products offered: (i) hypermarkets (legal sales area greater than 2,500 m²), (ii) supermarkets (between 400 and 2,500 m²), (iii) specialized commerce, (iv) small retail or convenience stores (less than 400 m²), (v) discount stores, and (vi) mail order.  </w:t>
        <w:br/>
        <w:t>17. In this case, the target store, which has a sales area of 6,582 m², falls into the category of hypermarkets.</w:t>
      </w:r>
    </w:p>
    <w:p>
      <w:r>
        <w:t xml:space="preserve">2. GEOGRAPHIC MARKETS  </w:t>
        <w:br/>
        <w:t xml:space="preserve">18. In its decisions regarding operations involving hypermarkets or supermarkets, the Competition Authority has recalled that two types of markets are usually distinguished, based on catchment areas:  </w:t>
        <w:br/>
        <w:t xml:space="preserve">- a first market where the demand from consumers in an area meets the supply of hypermarkets that they can access within a 30-minute drive and which are, from their perspective, substitutable for one another;  </w:t>
        <w:br/>
        <w:t xml:space="preserve">- a second market where the demand from consumers meets the supply of supermarkets and equivalent forms of commerce, located within a 15-minute drive. These latter forms of commerce may include, in addition to supermarkets, hypermarkets located near consumers and discount stores.  </w:t>
        <w:br/>
        <w:t xml:space="preserve">19. Other criteria may nevertheless be taken into account to assess the impact of a concentration on the competitive situation in retail distribution markets, which may lead to refining, in the specific case, the usual delimitations presented above.  </w:t>
        <w:br/>
        <w:t>20. In this instance, the target business, falling into the category of hypermarkets, the competitive analysis will be conducted, on the one hand, on the market including hypermarkets, supermarkets, and equivalent forms of commerce located within a 15-minute driving radius around the target business and, on the other hand, on the market including only hypermarkets within a 30-minute radius.</w:t>
      </w:r>
    </w:p>
    <w:p>
      <w:r>
        <w:t xml:space="preserve">III. Competitive Analysis  </w:t>
        <w:br/>
        <w:t xml:space="preserve">21. The activities of the parties overlap in the upstream supply markets as buyers and in the downstream food distribution markets.  </w:t>
        <w:br/>
        <w:t xml:space="preserve">1. UPSTREAM SUPPLY MARKETS  </w:t>
        <w:br/>
        <w:t xml:space="preserve">22. In the upstream supply markets, the Mousquetaires group will have a purchasing share of less than 25%, with a very limited increment (less than one point), regardless of the segmentations considered. These market shares take into account the operation notified concurrently under file number 19-081.  </w:t>
        <w:br/>
        <w:t>23. Consequently, the operation is not likely to generate horizontal effects in the upstream supply markets.</w:t>
      </w:r>
    </w:p>
    <w:p>
      <w:r>
        <w:t xml:space="preserve">2. DOWNSTREAM MARKETS FOR FOOD-ORIENTED RETAIL DISTRIBUTION  </w:t>
        <w:br/>
        <w:t xml:space="preserve">24. In the context of this operation, the activities of the parties overlap in the areas of 15 and 30 minutes around the target point of sale located in Montauban (82).  </w:t>
        <w:br/>
        <w:t xml:space="preserve">a) On the downstream market including hypermarkets located in a catchment area corresponding to a 30-minute driving radius around the target hypermarket  </w:t>
        <w:br/>
        <w:t xml:space="preserve">25. In the 30-minute area defined around the target hypermarket, the following groups are present:  </w:t>
        <w:br/>
        <w:t xml:space="preserve">Number of Sales Area Market Share  </w:t>
        <w:br/>
        <w:t xml:space="preserve">Group Points of Sale (m²)  </w:t>
        <w:br/>
        <w:t xml:space="preserve">Target Active (Géant Casino) 1 6,582 [20-30]%  </w:t>
        <w:br/>
        <w:t xml:space="preserve">Mousquetaires Group 1 3,000 [5-10]%  </w:t>
        <w:br/>
        <w:t xml:space="preserve">(before the operation)  </w:t>
        <w:br/>
        <w:t xml:space="preserve">Mousquetaires Group 2 9,582 [30-40]%  </w:t>
        <w:br/>
        <w:t xml:space="preserve">(after the operation)  </w:t>
        <w:br/>
        <w:t xml:space="preserve">Auchan 2 12,910 [40-50]%  </w:t>
        <w:br/>
        <w:t xml:space="preserve">Leclerc 1 8,000 [20-30]%  </w:t>
        <w:br/>
        <w:t xml:space="preserve">26. In this area, the Mousquetaires group will operate two hypermarkets and will have a market share of [30-40]% after the operation, with an increment of […] points. The main competitors of the new entity are hypermarkets operated under the brands Auchan ([40-50]%) and Leclerc ([20-30]%).  </w:t>
        <w:br/>
        <w:t xml:space="preserve">27. Consequently, the operation is not likely to generate horizontal effects in the food retail distribution market in the 30-minute area.  </w:t>
        <w:br/>
        <w:t xml:space="preserve">b) On the downstream market including hypermarkets, supermarkets, and equivalent forms of commerce located in a catchment area corresponding to a 15-minute driving radius around the target hypermarket  </w:t>
        <w:br/>
        <w:t xml:space="preserve">28. In the 15-minute area defined around the target hypermarket, the following groups are present:  </w:t>
        <w:br/>
        <w:t xml:space="preserve">Number of Sales Area Market Share  </w:t>
        <w:br/>
        <w:t xml:space="preserve">Group Points of Sale (m²)  </w:t>
        <w:br/>
        <w:t xml:space="preserve">Target Active (Géant Casino) 1 6,582 [10-20]%  </w:t>
        <w:br/>
        <w:t xml:space="preserve">Mousquetaires Group 3 6,049 [10-20]%  </w:t>
        <w:br/>
        <w:t xml:space="preserve">(before the operation)  </w:t>
        <w:br/>
        <w:t xml:space="preserve">Mousquetaires Group 4 12,631 [30-40]%  </w:t>
        <w:br/>
        <w:t xml:space="preserve">(after the operation)  </w:t>
        <w:br/>
        <w:t xml:space="preserve">Leclerc 2 12,910 [30-40]%  </w:t>
        <w:br/>
        <w:t xml:space="preserve">Auchan 1 8,000 [10-20]%  </w:t>
        <w:br/>
        <w:t xml:space="preserve">Casino 3 3,132 [5-10]%  </w:t>
        <w:br/>
        <w:t xml:space="preserve">Lidl 2 2,295 [5-10]%  </w:t>
        <w:br/>
        <w:t xml:space="preserve">Aldi 2 1,601 [0-5]%  </w:t>
        <w:br/>
        <w:t xml:space="preserve">29. The estimated market share of the Intermarché brand is [30-40]% after the operation, which is a market share similar to that of the Carrefour brand ([30-40]%) and higher than those of the Auchan ([10-20]%), Casino ([5-10]%), Lidl ([5-10%]), and Aldi ([0-5]%) brands.  </w:t>
        <w:br/>
        <w:t>30. Consequently, the operation is not likely to generate horizontal effects in the food retail distribution market in the 15-minute area.</w:t>
      </w:r>
    </w:p>
    <w:p>
      <w:r>
        <w:rPr>
          <w:b/>
        </w:rPr>
        <w:t>[Pages 7–7]</w:t>
      </w:r>
    </w:p>
    <w:p>
      <w:r>
        <w:t xml:space="preserve">DECIDES  </w:t>
        <w:br/>
        <w:t xml:space="preserve">Sole Article: The operation notified under file number 19-082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