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https://www.autoritedelaconcurrence.fr/fr/decision-de-controle-des-concentrations/relative-la-prise-de-controle-exclusif-dun-fonds-de-24</w:t>
      </w:r>
    </w:p>
    <w:p>
      <w:r>
        <w:t>Pages translated : 7</w:t>
      </w:r>
    </w:p>
    <w:p/>
    <w:p>
      <w:r>
        <w:rPr>
          <w:b/>
        </w:rPr>
        <w:t>[Pages 1–3]</w:t>
      </w:r>
    </w:p>
    <w:p>
      <w:r>
        <w:t xml:space="preserve">FRENCH REPUBLIC  </w:t>
        <w:br/>
        <w:t xml:space="preserve">Decision No. 19-DCC-71 of April 17, 2019  </w:t>
        <w:br/>
        <w:t>regarding the exclusive control of a food-oriented business by the company ITM* Alimentaire International</w:t>
      </w:r>
    </w:p>
    <w:p>
      <w:r>
        <w:t xml:space="preserve">The Competition Authority,  </w:t>
        <w:br/>
        <w:t xml:space="preserve">Having regard to the notification file submitted in full to the merger service on March 13, 2019, regarding the exclusive control by the company ITM* Alimentaire International of a business, formalized by a purchase promise dated February 27, 2019;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ITM* Alimentaire International is a simplified joint-stock company, wholly owned by the company ITM Entreprises, which is itself controlled by the Société civile des Mousquetaires. The latter is controlled by the company Les Mousquetaires, which is owned by 1,498 individuals ("associated members") and the association l'Union des Mousquetaires. These various companies supply and animate the network of independent merchants (hereinafter "the Mousquetaires group"). The Mousquetaires group operates various brands, such as Intermarché, Netto, Poivre Rouge, Bricomarché, Bricorama, Bricocash, Batkor, Roady, Rapid Pare-Brise, and American Car Wash.  </w:t>
        <w:br/>
        <w:t xml:space="preserve">2. The target asset consists of a food-oriented retail business of the hypermarket type, with a sales area of 5,977 m², located in Nevers (56). The target asset is currently operated under the Géant Casino brand and is owned by the companies Distribution Casino France and Floréal.  </w:t>
        <w:br/>
        <w:t xml:space="preserve">* Correction of a material error.  </w:t>
        <w:br/>
        <w:t>1 The operation also concerns the acquisition of an ancillary fuel distribution business located near the hypermarket.</w:t>
      </w:r>
    </w:p>
    <w:p>
      <w:r>
        <w:t xml:space="preserve">3. The proposed operation involves the acquisition by the company ITM* Alimentaire International of all ownership titles of the business assets. As it results in the exclusive control of the target asset, the notified operation constitutes a concentration within the meaning of Article L. 430-1 of the Commercial Code.  </w:t>
        <w:br/>
        <w:t>4. The companies concerned together achieve a total worldwide turnover excluding taxes of more than 75 million euros (ITM Entreprises: [≥ 75 million] euros for the last financial year ended December 31, 2017; target assets: [≤ 75 million] euros for the last financial year ended December 31, 2018). Each of these companies has achieved a turnover exceeding 15 million euros (ITM Entreprises: [≥ 15 million] euros for the last financial year ended December 31, 2017; target assets: [≥ 15 million] euros for the last financial year ended December 31, 2018). Given the turnover achieved by the companies concerned, the operation does not fall under the jurisdiction of the European Union. However, the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active primarily in the food-oriented retail distribution markets.  </w:t>
        <w:br/>
        <w:t>6. According to the consistent decision-making practice of competition authorities, two categories of markets are delineated in this sector. These are, on the one hand, the "upstream" markets for supplying retail businesses with consumer goods and, on the other hand, the "downstream" markets for food-oriented retail distribution.</w:t>
      </w:r>
    </w:p>
    <w:p>
      <w:r>
        <w:t xml:space="preserve">A. UPSTREAM MARKETS FOR SUPPLYING  </w:t>
        <w:br/>
        <w:t xml:space="preserve">1. PRODUCT MARKETS  </w:t>
        <w:br/>
        <w:t xml:space="preserve">7. In the food-oriented retail distribution sector, companies are present, as buyers, in the upstream supply markets, which include the sale of consumer goods by producers to customers such as wholesalers, retailers (large food stores, hereinafter "GSA," and large specialized surfaces, hereinafter "GSS") or other businesses (for example, cafes/hotels/restaurants).  </w:t>
        <w:br/>
        <w:t xml:space="preserve">8. Competition authorities usually distinguish as many markets as there are families or groups of products. The following categories have thus been distinguished:  </w:t>
        <w:br/>
        <w:t xml:space="preserve">− consumer goods: (1) liquids, (2) drugstore, (3) perfumery and hygiene, (4) dry groceries, (5) parapharmacy, (6) perishable self-service products;  </w:t>
        <w:br/>
        <w:t xml:space="preserve">− traditional fresh: (7) delicatessen, (8) fishmonger, (9) fruits and vegetables, (10) fresh bread and pastries, (11) butcher;  </w:t>
        <w:br/>
        <w:t xml:space="preserve">− bazaar: (12) DIY, (13) home, (14) culture, (15) toys, leisure and relaxation, (16) garden, (17) automobile;  </w:t>
        <w:br/>
        <w:t xml:space="preserve">− household appliances, photo, cinema and sound: (18) large household appliances, (19) small household appliances, (20) photo and cinema, (21) hi-fi and sound, (22) TV and video;  </w:t>
        <w:br/>
        <w:t xml:space="preserve">− textiles: (23) textiles and shoes.  </w:t>
        <w:br/>
        <w:t xml:space="preserve">9. The European Commission has also considered segmentation based on distribution channels. In its decision Carrefour/Promodès, it notes that "there are serious indications to suggest that certain supply markets can also be defined based on distribution channels, such that the supply of the food-oriented retail sector could constitute an autonomous market." The Competition Authority has also identified a distinct market for supplying food products intended for GSAs.  </w:t>
        <w:br/>
        <w:t xml:space="preserve">10. Furthermore, within this channel, the Competition Authority has considered a sub-segmentation based on the commercial positioning of the product (manufacturer brand or "MDF," distributor brand or "MDD").  </w:t>
        <w:br/>
        <w:t xml:space="preserve">11. In this case, the parties are simultaneously active as buyers for the supply of their GSAs.  </w:t>
        <w:br/>
        <w:t xml:space="preserve">a) Geographic markets  </w:t>
        <w:br/>
        <w:t xml:space="preserve">12. Competition authorities consider that the geographic delimitation of supply markets is essentially national, while not excluding that, for certain categories of products, the market dimension may, in part, be narrower.  </w:t>
        <w:br/>
        <w:t>13. In this case, the analysis will be conducted at the national level.</w:t>
      </w:r>
    </w:p>
    <w:p>
      <w:r>
        <w:rPr>
          <w:b/>
        </w:rPr>
        <w:t>[Pages 4–6]</w:t>
      </w:r>
    </w:p>
    <w:p>
      <w:r>
        <w:t>B. DOWNSTREAM MARKETS FOR RETAIL DISTRIBUTION MAINLY FOOD-ORIENTED</w:t>
      </w:r>
    </w:p>
    <w:p>
      <w:r>
        <w:t>1. PRODUCT MARKETS</w:t>
      </w:r>
    </w:p>
    <w:p>
      <w:r>
        <w:t>14. The Competition Authority has distinguished six categories of commerce using several criteria, including store size, sales techniques, accessibility, the nature of the service provided, and the range of products offered: (i) hypermarkets (legal sales area over 2,500 m²), (ii) supermarkets (between 400 and 2,500 m²), (iii) specialized trade, (iv) small retail stores or convenience stores (less than 400 m²), (v) discount stores, and (vi) mail-order sales.</w:t>
      </w:r>
    </w:p>
    <w:p>
      <w:r>
        <w:t>15. In this case, the target store, which has a sales area of 5,977 m², falls into the category of hypermarkets.</w:t>
      </w:r>
    </w:p>
    <w:p>
      <w:r>
        <w:t>2. GEOGRAPHIC MARKETS</w:t>
      </w:r>
    </w:p>
    <w:p>
      <w:r>
        <w:t>16. In its decisions regarding operations involving hypermarkets or supermarkets, the Competition Authority has recalled that two types of markets are usually distinguished, based on catchment areas:</w:t>
        <w:br/>
        <w:t>- a first market where the demand from consumers in an area meets the supply of hypermarkets that they can access within less than 30 minutes of driving and which are, from their perspective, substitutable for one another;</w:t>
        <w:br/>
        <w:t>-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w:t>
      </w:r>
    </w:p>
    <w:p>
      <w:r>
        <w:t>17. Other criteria may nevertheless be taken into account to assess the impact of a concentration on the competitive situation in retail distribution markets, which may lead to refining, in the specific case, the usual delineations presented above.</w:t>
      </w:r>
    </w:p>
    <w:p>
      <w:r>
        <w:t>18. In this instance, the target business falling into the category of hypermarkets, the competitive analysis will be conducted, on the one hand, on the market including hypermarkets, supermarkets, and equivalent forms of commerce located within a 15-minute driving radius around the target business and, on the other hand, on the market including only hypermarkets within a 30-minute radius.</w:t>
      </w:r>
    </w:p>
    <w:p>
      <w:r>
        <w:t>III. Competitive Analysis</w:t>
      </w:r>
    </w:p>
    <w:p>
      <w:r>
        <w:t>19. The activities of the parties overlap in the upstream markets of supply as buyers and in the downstream markets of food distribution.</w:t>
      </w:r>
    </w:p>
    <w:p>
      <w:r>
        <w:t>1. UPSTREAM SUPPLY MARKETS</w:t>
      </w:r>
    </w:p>
    <w:p>
      <w:r>
        <w:t>20. In the upstream supply markets, the group of Mousquetaires will have a purchasing share of less than 25%, with an increment of less than one point, regardless of the segmentations considered.</w:t>
      </w:r>
    </w:p>
    <w:p>
      <w:r>
        <w:t>21. Consequently, the operation is not likely to generate horizontal effects in the upstream supply markets.</w:t>
      </w:r>
    </w:p>
    <w:p>
      <w:r>
        <w:t>2. DOWNSTREAM MARKETS FOR RETAIL DISTRIBUTION MAINLY FOOD-ORIENTED</w:t>
      </w:r>
    </w:p>
    <w:p>
      <w:r>
        <w:t>22. The activities of the parties overlap in the areas of 15 and 30 minutes around the target hypermarket located in Nevers (58).</w:t>
      </w:r>
    </w:p>
    <w:p>
      <w:r>
        <w:t>a) On the downstream market including hypermarkets located in a catchment area corresponding to a 30-minute driving radius around the target hypermarket</w:t>
      </w:r>
    </w:p>
    <w:p>
      <w:r>
        <w:t>23. In the 30-minute area defined around the target hypermarket, the following groups are present:</w:t>
      </w:r>
    </w:p>
    <w:p>
      <w:r>
        <w:t>| Group                     | Number of Points of Sale | Sales Area (m²) | Market Share |</w:t>
        <w:br/>
        <w:t>|--------------------------|--------------------------|------------------|--------------|</w:t>
        <w:br/>
        <w:t>| Target Asset (Géant Casino) | 1                        | 5,977            | [10-20] %    |</w:t>
        <w:br/>
        <w:t>| Groupement des Mousquetaires (before the operation) | 1                        | 3,200            | [10-20] %    |</w:t>
        <w:br/>
        <w:t>| Groupement des Mousquetaires (after the operation)  | 2                        | 9,177            | [30-40] %    |</w:t>
        <w:br/>
        <w:t>| Carrefour                | 2                        | 13,869           | [40-50] %    |</w:t>
        <w:br/>
        <w:t>| Auchan                   | 1                        | 4,280            | [10-20] %    |</w:t>
        <w:br/>
        <w:t>| Leclerc                  | 1                        | 3,200            | [10-20] %    |</w:t>
      </w:r>
    </w:p>
    <w:p>
      <w:r>
        <w:t>24. In this area, the group of Mousquetaires will operate two hypermarkets under the Intermarché brand and will have a market share of [30-40]% following the operation, with an increment of […] points. The Intermarché brand will face competition from the Carrefour brand ([40-50]%), Auchan ([10-20]%), and Leclerc ([10-20]%).</w:t>
      </w:r>
    </w:p>
    <w:p>
      <w:r>
        <w:t>25. Consequently, the operation is not likely to generate horizontal effects in the retail distribution market mainly food-oriented in the 30-minute area.</w:t>
      </w:r>
    </w:p>
    <w:p>
      <w:r>
        <w:t>b) On the downstream market including hypermarkets, supermarkets, and equivalent forms of commerce located in a catchment area corresponding to a 15-minute driving radius around the target hypermarket</w:t>
      </w:r>
    </w:p>
    <w:p>
      <w:r>
        <w:t>26. In the 15-minute area defined around the target hypermarket, the following groups are present:</w:t>
      </w:r>
    </w:p>
    <w:p>
      <w:r>
        <w:t>| Group                     | Number of Points of Sale | Sales Area (m²) | Market Share |</w:t>
        <w:br/>
        <w:t>|--------------------------|--------------------------|------------------|--------------|</w:t>
        <w:br/>
        <w:t>| Target Asset (Géant Casino) | 1                        | 5,977            | [10-20] %    |</w:t>
        <w:br/>
        <w:t>| Intermarché (before the operation) | 5                        | 9,332            | [20-30] %    |</w:t>
        <w:br/>
        <w:t>| Intermarché (after the operation)  | 6                        | 15,309           | [30-40] %    |</w:t>
        <w:br/>
        <w:t>| Carrefour                | 2                        | 4,454            | [30-40] %    |</w:t>
        <w:br/>
        <w:t>| Leclerc                  | 2                        | 4,180            | [10-20] %    |</w:t>
        <w:br/>
        <w:t>| Lidl                     | 3                        | 2,965            | [5-10] %     |</w:t>
        <w:br/>
        <w:t>| Casino                   | 2                        | 2,569            | [5-10] %     |</w:t>
        <w:br/>
        <w:t>| Aldi                     | 1                        | 815              | [0-5] %      |</w:t>
      </w:r>
    </w:p>
    <w:p>
      <w:r>
        <w:t>27. The estimated market share of the Intermarché brand is [30-40]% following the operation, which is a market share similar to that of the Carrefour brand ([30-40]%) and higher than those of the Leclerc ([10-20]%), Lidl ([5-10]%), and Casino ([5-10]%) brands.</w:t>
      </w:r>
    </w:p>
    <w:p>
      <w:r>
        <w:t>28. Consequently, the operation is not likely to generate horizontal effects in the retail distribution market mainly food-oriented in the 15-minute area.</w:t>
      </w:r>
    </w:p>
    <w:p>
      <w:r>
        <w:rPr>
          <w:b/>
        </w:rPr>
        <w:t>[Pages 7–7]</w:t>
      </w:r>
    </w:p>
    <w:p>
      <w:r>
        <w:t>DECIDES</w:t>
      </w:r>
    </w:p>
    <w:p>
      <w:r>
        <w:t>Sole Article: The transaction notified under number 19-081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