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https://www.autoritedelaconcurrence.fr/fr/decision-de-controle-des-concentrations/relative-la-prise-de-controle-exclusif-dun-fonds-de-25</w:t>
      </w:r>
    </w:p>
    <w:p>
      <w:r>
        <w:t>Pages translated : 2</w:t>
      </w:r>
    </w:p>
    <w:p/>
    <w:p>
      <w:r>
        <w:rPr>
          <w:b/>
        </w:rPr>
        <w:t>[Pages 1–2]</w:t>
      </w:r>
    </w:p>
    <w:p>
      <w:r>
        <w:t xml:space="preserve">FRENCH REPUBLIC  </w:t>
        <w:br/>
        <w:t xml:space="preserve">Decision No. 20-DCC-169 of November 24, 2020  </w:t>
        <w:br/>
        <w:t>regarding the exclusive control acquisition of an automotive distribution business by the L.Warsemann group</w:t>
      </w:r>
    </w:p>
    <w:p>
      <w:r>
        <w:t>The Competition Authority,</w:t>
      </w:r>
    </w:p>
    <w:p>
      <w:r>
        <w:t>Having regard to the complete notification file submitted to the mergers department on November 3, 2020, concerning the exclusive control acquisition of an automotive distribution business owned by Renault Retail Group by the L.Warsemann group, formalized by a letter of intent dated July 30, 2020;</w:t>
      </w:r>
    </w:p>
    <w:p>
      <w:r>
        <w:t>Having regard to Book IV of the Commercial Code relating to the freedom of prices and competition, and in particular its Articles L. 430-1 to L. 430-7;</w:t>
      </w:r>
    </w:p>
    <w:p>
      <w:r>
        <w:t>Having regard to the elements provided by the notifying party during the investigation;</w:t>
      </w:r>
    </w:p>
    <w:p>
      <w:r>
        <w:t xml:space="preserve">Adopts the following decision:  </w:t>
        <w:br/>
        <w:t xml:space="preserve">1. The notified operation consists of the exclusive control acquisition by the L.Warsemann group of an automotive dealership business under the Renault and Dacia brands owned by Renault Retail Group, operating its business in Fleury-les-Aubrais (45) and Saran (45). It constitutes a concentration operation within the meaning of Article L. 430-1 of the Commercial Code. Given the turnover achieved by the concerned companies,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20-212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