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https://www.autoritedelaconcurrence.fr/fr/decision-de-controle-des-concentrations/relative-la-prise-de-controle-exclusif-dun-fonds-de-26</w:t>
      </w:r>
    </w:p>
    <w:p>
      <w:r>
        <w:t>Pages translated : 2</w:t>
      </w:r>
    </w:p>
    <w:p/>
    <w:p>
      <w:r>
        <w:rPr>
          <w:b/>
        </w:rPr>
        <w:t>[Pages 1–2]</w:t>
      </w:r>
    </w:p>
    <w:p>
      <w:r>
        <w:t xml:space="preserve">FRENCH REPUBLIC  </w:t>
        <w:br/>
        <w:t xml:space="preserve">Decision No. 20-DCC-168 of November 23, 2020  </w:t>
        <w:br/>
        <w:t xml:space="preserve">regarding the exclusive control acquisition of an automotive distribution business  </w:t>
        <w:br/>
        <w:t xml:space="preserve">belonging to Renault Retail Group by Grands Garages du Pas-de-Calais  </w:t>
        <w:br/>
        <w:t xml:space="preserve">The Competition Authority,  </w:t>
        <w:br/>
        <w:t xml:space="preserve">Having regard to the complete notification file submitted to the mergers department on November 5, 2020,  </w:t>
        <w:br/>
        <w:t xml:space="preserve">concerning the exclusive control acquisition of an automotive distribution business  </w:t>
        <w:br/>
        <w:t xml:space="preserve">belonging to Renault Retail Group by Grands Garages du Pas-de-Calais,  </w:t>
        <w:br/>
        <w:t xml:space="preserve">formalized by a letter of intent for the transfer of shares dated July 17,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Grands Garages du Pas-de-Calais of an automotive distribution business belonging to Renault Retail Group, which engages in the retail sale of motor vehicles under the Renault and Dacia brands in Nîmes (30).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20-205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