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https://www.autoritedelaconcurrence.fr/fr/decision-de-controle-des-concentrations/relative-la-prise-de-controle-exclusif-dun-fonds-de-28</w:t>
      </w:r>
    </w:p>
    <w:p>
      <w:r>
        <w:t>Pages translated : 2</w:t>
      </w:r>
    </w:p>
    <w:p/>
    <w:p>
      <w:r>
        <w:rPr>
          <w:b/>
        </w:rPr>
        <w:t>[Pages 1–2]</w:t>
      </w:r>
    </w:p>
    <w:p>
      <w:r>
        <w:t xml:space="preserve">FRENCH REPUBLIC  </w:t>
        <w:br/>
        <w:t xml:space="preserve">Decision No. 21-DCC-06 of January 13, 2021  </w:t>
        <w:br/>
        <w:t>regarding the exclusive control acquisition of a car dealership business by the company Car Avenue Alsace</w:t>
      </w:r>
    </w:p>
    <w:p>
      <w:r>
        <w:t>The Competition Authority,</w:t>
      </w:r>
    </w:p>
    <w:p>
      <w:r>
        <w:t xml:space="preserve">Having regard to the complete notification file sent to the mergers department on December 28, 2020, concerning the exclusive control acquisition of a car dealership business by the company Car Avenue Alsace, formalized by a bilateral promise of sale and acquisition of a business on December 21, 2020;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Car Avenue Alsace of a car dealership business under the brands DS and Citroën operating its activity in Hœnheim (67) and Strasbourg (67). It constitutes a concentration operation within the meaning of Article L. 430-1 of the Commercial Code. Given the turnover achieved by the concerned companies, the operation does not fall under the jurisdiction of the European Union. On the other hand,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20-271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