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https://www.autoritedelaconcurrence.fr/fr/decision-de-controle-des-concentrations/relative-la-prise-de-controle-exclusif-dun-fonds-de-3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13-DCC-107 of August 6, 2013  </w:t>
        <w:br/>
        <w:t xml:space="preserve">regarding the exclusive control acquisition of a business of  </w:t>
        <w:br/>
        <w:t xml:space="preserve">automobile distribution by the ECL group  </w:t>
        <w:br/>
        <w:t xml:space="preserve">The Competition Authority,  </w:t>
        <w:br/>
        <w:t xml:space="preserve">Having regard to the complete notification file sent to the mergers department on July 10, 2013,  </w:t>
        <w:br/>
        <w:t xml:space="preserve">concerning the exclusive control acquisition of a business of automobile distribution by the ECL group and formalized by a promise of sale of business dated June 21, 2013;  </w:t>
        <w:br/>
        <w:t xml:space="preserve">Having regard to Book IV of the Commercial Code relating to the freedom of prices and competition, and in particular its Articles L. 430-1 to L. 430-7;  </w:t>
        <w:br/>
        <w:t xml:space="preserve">Adopts the following decision:  </w:t>
        <w:br/>
        <w:t xml:space="preserve">1. The notified operation consists of the exclusive control acquisition of a Peugeot brand automobile dealership business located in Noidans-lès-Vesoul (70), by the ECL group, which operates automobile dealerships in other departments. It constitutes a concentration operation within the meaning of Article L. 430-1 of the Commercial Code. Given the turnover achieved by the companies concerned, the operation does not have a community dimension. On the other hand, the control thresholds related to retail trade mentioned in point II of Article L. 430-2 of the Commercial Code are exceeded. This operation is therefore subject to the provisions of Articles L. 430-3 and following of the Commercial Code relating to economic concentration.  </w:t>
        <w:br/>
        <w:t>2. In view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13-117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