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https://www.autoritedelaconcurrence.fr/fr/decision-de-controle-des-concentrations/relative-la-prise-de-controle-exclusif-dun-fonds-de-32</w:t>
      </w:r>
    </w:p>
    <w:p>
      <w:r>
        <w:t>Pages translated : 2</w:t>
      </w:r>
    </w:p>
    <w:p/>
    <w:p>
      <w:r>
        <w:rPr>
          <w:b/>
        </w:rPr>
        <w:t>[Pages 1–2]</w:t>
      </w:r>
    </w:p>
    <w:p>
      <w:r>
        <w:t xml:space="preserve">FRENCH REPUBLIC  </w:t>
        <w:br/>
        <w:t xml:space="preserve">Decision No. 22-DCC-105 of June 23, 2022  </w:t>
        <w:br/>
        <w:t xml:space="preserve">regarding the exclusive control acquisition of a business in  </w:t>
        <w:br/>
        <w:t>La Réunion by the Leal group</w:t>
      </w:r>
    </w:p>
    <w:p>
      <w:r>
        <w:t>The Competition Authority,</w:t>
      </w:r>
    </w:p>
    <w:p>
      <w:r>
        <w:t>Having regard to the complete notification file submitted to the mergers department on June 3, 2022, concerning the exclusive control acquisition of a business for the importation and distribution of alcoholic beverages in La Réunion under the Diageo brand and operated by the company Diageo Réunion, by the Leal group, formalized by the signing of a memorandum of understanding on April 25, 2022, and an amendment to the memorandum of understanding on June 3,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a business for the importation and distribution of alcoholic beverages in La Réunion under the Diageo brand, operated by the company Diageo Réunion, by the Leal group. It constitutes a concentration operation within the meaning of Article L. 430-1 of the Commercial Code. Given the turnover achieved by the companies concerned, the operation does not fall under the jurisdiction of the European Union. However, the control thresholds mentioned in III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22-114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