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https://www.autoritedelaconcurrence.fr/fr/decision-de-controle-des-concentrations/relative-la-prise-de-controle-exclusif-dun-fonds-de-33</w:t>
      </w:r>
    </w:p>
    <w:p>
      <w:r>
        <w:t>Pages translated : 2</w:t>
      </w:r>
    </w:p>
    <w:p/>
    <w:p>
      <w:r>
        <w:rPr>
          <w:b/>
        </w:rPr>
        <w:t>[Pages 1–2]</w:t>
      </w:r>
    </w:p>
    <w:p>
      <w:r>
        <w:t xml:space="preserve">FRENCH REPUBLIC  </w:t>
        <w:br/>
        <w:t xml:space="preserve">Decision No. 22-DCC-209 of November 10, 2022  </w:t>
        <w:br/>
        <w:t xml:space="preserve">regarding the exclusive control of an automobile distribution business in Nanterre by the Stellantis group  </w:t>
        <w:br/>
        <w:t xml:space="preserve">The Competition Authority,  </w:t>
        <w:br/>
        <w:t xml:space="preserve">Having regard to the complete notification file submitted to the mergers department on October 24, 2022,  </w:t>
        <w:br/>
        <w:t xml:space="preserve">concerning the acquisition of control by the company FCA Motor Village France of an automobile distribution business in Nanterre, formalized by a synallagmatic promise of sale and acquisition of business assets dated October 10,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an automobile distribution business located in Nanterre, by the company FCA Motor Village France, a subsidiary of the Stellantis group, which is active in the automobile distribution sector.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22-255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