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https://www.autoritedelaconcurrence.fr/fr/decision-de-controle-des-concentrations/relative-la-prise-de-controle-exclusif-dun-fonds-de-35</w:t>
      </w:r>
    </w:p>
    <w:p>
      <w:r>
        <w:t>Pages translated : 2</w:t>
      </w:r>
    </w:p>
    <w:p/>
    <w:p>
      <w:r>
        <w:rPr>
          <w:b/>
        </w:rPr>
        <w:t>[Pages 1–2]</w:t>
      </w:r>
    </w:p>
    <w:p>
      <w:r>
        <w:t xml:space="preserve">FRENCH REPUBLIC  </w:t>
        <w:br/>
        <w:t xml:space="preserve">Decision No. 22-DCC-248 of December 16, 2022  </w:t>
        <w:br/>
        <w:t>regarding the acquisition of exclusive control of a car dealership business by the Koala group</w:t>
      </w:r>
    </w:p>
    <w:p>
      <w:r>
        <w:t>The Competition Authority,</w:t>
      </w:r>
    </w:p>
    <w:p>
      <w:r>
        <w:t xml:space="preserve">Having regard to the complete notification file submitted to the mergers department on November 30, 2022, concerning the acquisition of exclusive control of a car dealership business by the Koala group, formalized by a promise of sale of business assets dated November 29, 2022;  </w:t>
        <w:br/>
        <w:t xml:space="preserve">Having regard to Book IV of the Commercial Code relating to the freedom of prices and competition, and in particular its Articles L. 430-1 to L. 430-7;  </w:t>
        <w:br/>
        <w:t>Having regard to the additional elements provided by the notifying party during the investigation;</w:t>
      </w:r>
    </w:p>
    <w:p>
      <w:r>
        <w:t xml:space="preserve">Adopts the following decision:  </w:t>
        <w:br/>
        <w:t xml:space="preserve">1. The notified transaction consists of the acquisition of exclusive control of a car dealership business located in Montauban (82), currently held by the company ABM Montauban, by the company Premium Auto Distribution, a subsidiary of the Koala group. It constitutes a concentration operation within the meaning of Article L. 430-1 of the Commercial Code. Given the turnover generated by the companies involved, the transaction does not fall under the jurisdiction of the European Union. However, the retail control thresholds mentioned in II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transaction notified under number 22-312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