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https://www.autoritedelaconcurrence.fr/fr/decision-de-controle-des-concentrations/relative-la-prise-de-controle-exclusif-dun-fonds-de-37</w:t>
      </w:r>
    </w:p>
    <w:p>
      <w:r>
        <w:t>Pages translated : 2</w:t>
      </w:r>
    </w:p>
    <w:p/>
    <w:p>
      <w:r>
        <w:rPr>
          <w:b/>
        </w:rPr>
        <w:t>[Pages 1–2]</w:t>
      </w:r>
    </w:p>
    <w:p>
      <w:r>
        <w:t xml:space="preserve">REPUBLIC OF FRANCE  </w:t>
        <w:br/>
        <w:t xml:space="preserve">Decision No. 23-DCC-100 of May 26, 2023  </w:t>
        <w:br/>
        <w:t xml:space="preserve">regarding the exclusive acquisition of control over a business of  </w:t>
        <w:br/>
        <w:t xml:space="preserve">distribution and repair of automotive and industrial vehicles by  </w:t>
        <w:br/>
        <w:t xml:space="preserve">the company BPM Group  </w:t>
        <w:br/>
        <w:t xml:space="preserve">The Competition Authority,  </w:t>
        <w:br/>
        <w:t xml:space="preserve">Having regard to the complete notification file submitted to the mergers department on May 10, 2023,  </w:t>
        <w:br/>
        <w:t xml:space="preserve">concerning the exclusive acquisition of control by the company BPM Group, of a business of  </w:t>
        <w:br/>
        <w:t xml:space="preserve">distribution and repair of automotive and industrial vehicles, formalized by a preliminary offer letter dated March 13,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acquisition of control of a business of sale,  </w:t>
        <w:br/>
        <w:t xml:space="preserve">repair, and rental of automotive and industrial vehicles, operated in the departments of Charente (16), Loire-Atlantique (44), Maine-et-Loire (49), Vendée (85), and Vienne (86), by the company BPM Group, (through the company BPM Trucks), which is itself active in the automotive distribution sector.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23-104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