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https://www.autoritedelaconcurrence.fr/fr/decision-de-controle-des-concentrations/relative-la-prise-de-controle-exclusif-dun-fonds-de-39</w:t>
      </w:r>
    </w:p>
    <w:p>
      <w:r>
        <w:t>Pages translated : 2</w:t>
      </w:r>
    </w:p>
    <w:p/>
    <w:p>
      <w:r>
        <w:rPr>
          <w:b/>
        </w:rPr>
        <w:t>[Pages 1–2]</w:t>
      </w:r>
    </w:p>
    <w:p>
      <w:r>
        <w:t>FRENCH REPUBLIC</w:t>
        <w:br/>
        <w:t>Decision No. 23-DCC-264 of December 29, 2023</w:t>
        <w:br/>
        <w:t>regarding the exclusive control acquisition of an automobile distribution business located in Dunkerque (59) by the Sofida group</w:t>
        <w:br/>
        <w:t>The Competition Authority,</w:t>
        <w:br/>
        <w:t>Having regard to the complete notification file sent to the mergers department on December 15, 2022, concerning the exclusive control acquisition of an automobile distribution business by the Sofida group, formalized by a synallagmatic promise of sale dated December 6,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Sofida group of an automobile distribution business located in Dunkerque (59). It constitutes a concentration operation within the meaning of Article L. 430-1 of the Commercial Code. Given the turnover generated by the concerned companies,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23-320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