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https://www.autoritedelaconcurrence.fr/fr/decision-de-controle-des-concentrations/relative-la-prise-de-controle-exclusif-dun-fonds-de-40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24-DCC-30 of March 1, 2024</w:t>
        <w:br/>
        <w:t>regarding the exclusive acquisition of control over a business of</w:t>
        <w:br/>
        <w:t>distribution and repair of automotive and industrial vehicles by</w:t>
        <w:br/>
        <w:t>the company BPM Group</w:t>
        <w:br/>
        <w:t>The Competition Authority,</w:t>
        <w:br/>
        <w:t>Having regard to the complete notification file submitted to the mergers department on February 14, 2024,</w:t>
        <w:br/>
        <w:t>concerning the exclusive acquisition of control over a business of distribution and repair of</w:t>
        <w:br/>
        <w:t>automotive and industrial vehicles by the company BPM Group, formalized by a preliminary offer letter dated October 23, 2023;</w:t>
        <w:br/>
        <w:t>Having regard to Book IV of the Commercial Code relating to the freedom of prices and competition, and</w:t>
        <w:br/>
        <w:t>notably its Articles L. 430-1 to L. 430-7;</w:t>
        <w:br/>
        <w:t>Having regard to the additional elements provided by the notifying party during the investigation;</w:t>
        <w:br/>
        <w:t>Adopts the following decision:</w:t>
        <w:br/>
        <w:t>1. The notified operation consists of the exclusive acquisition of control over a business of sale,</w:t>
        <w:br/>
        <w:t>repair, and rental of automotive and industrial vehicles, operating two sites in</w:t>
        <w:br/>
        <w:t>the department of Nord (59) by the company BPM Group, which is itself active in the sector of</w:t>
        <w:br/>
        <w:t>distribution of automotive and industrial vehicles. It constitutes a concentration operation within the meaning of Article L. 430-1 of the Commercial Code. Given the turnover achieved by the companies concerned, the operation does not fall under the jurisdiction of</w:t>
        <w:br/>
        <w:t>the European Union. On the other hand, the control thresholds related to retail trade</w:t>
        <w:br/>
        <w:t>mentioned in I of Article L. 430-2 of the Commercial Code are exceeded. This operation</w:t>
        <w:br/>
        <w:t>is therefore subject to the provisions of Articles L. 430-3 and following of the Commercial Code relating</w:t>
        <w:br/>
        <w:t>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23-342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