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https://www.autoritedelaconcurrence.fr/fr/decision-de-controle-des-concentrations/relative-la-prise-de-controle-exclusif-dun-fonds-de-41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24-DCC-228 of October 28, 2024</w:t>
        <w:br/>
        <w:t>regarding the acquisition of exclusive control of a business by Bolloré Energy from Chantelat</w:t>
        <w:br/>
        <w:t>The Competition Authority,</w:t>
        <w:br/>
        <w:t>Having regard to the complete notification file submitted to the mergers department on October 3, 2024, concerning the acquisition of exclusive control by Bolloré Energy of a business belonging to Chantelat, formalized by the binding offer letter dated May 17, 2024;</w:t>
        <w:br/>
        <w:t>Having regard to Book IV of the Commercial Code relating to freedom of prices and competition, and in particular its Articles L. 430-1 to L. 430-7;</w:t>
        <w:br/>
        <w:t>Adopts the following decision:</w:t>
        <w:br/>
        <w:t>1. The notified operation consists of the acquisition of exclusive control by Bolloré Energy of a business belonging to Chantelat, whose sites are located in Argenvières (18) and La Celle-sur-Loire (58). The parties are notably active in the sector of transportation, storage, and distribution of petroleum products. The operation constitutes a concentration operation within the meaning of Article L. 430-1 of the Commercial Code. Given the turnover achieved by the companies concerned,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24-148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